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8B43" w14:textId="2BA8E446" w:rsidR="00A0256B" w:rsidRPr="00B6084D" w:rsidRDefault="00A0256B" w:rsidP="00A0256B">
      <w:pPr>
        <w:spacing w:after="200"/>
        <w:jc w:val="center"/>
        <w:outlineLvl w:val="0"/>
        <w:rPr>
          <w:rFonts w:ascii="Times New Roman Bold" w:eastAsia="Times New Roman" w:hAnsi="Times New Roman Bold"/>
          <w:b/>
          <w:bCs/>
          <w:caps/>
          <w:kern w:val="28"/>
          <w:sz w:val="22"/>
          <w:szCs w:val="22"/>
          <w:u w:val="single"/>
          <w:lang w:eastAsia="ja-JP"/>
        </w:rPr>
      </w:pPr>
      <w:r w:rsidRPr="003B674C">
        <w:rPr>
          <w:rFonts w:ascii="Times New Roman Bold" w:eastAsia="Times New Roman" w:hAnsi="Times New Roman Bold"/>
          <w:b/>
          <w:bCs/>
          <w:caps/>
          <w:kern w:val="28"/>
          <w:sz w:val="22"/>
          <w:szCs w:val="22"/>
          <w:u w:val="single"/>
          <w:lang w:eastAsia="ja-JP"/>
        </w:rPr>
        <w:t>Data Pro</w:t>
      </w:r>
      <w:r w:rsidR="003B674C" w:rsidRPr="00B6084D">
        <w:rPr>
          <w:rFonts w:ascii="Times New Roman Bold" w:eastAsia="Times New Roman" w:hAnsi="Times New Roman Bold"/>
          <w:b/>
          <w:bCs/>
          <w:caps/>
          <w:kern w:val="28"/>
          <w:sz w:val="22"/>
          <w:szCs w:val="22"/>
          <w:u w:val="single"/>
          <w:lang w:eastAsia="ja-JP"/>
        </w:rPr>
        <w:t>cessing Agreement</w:t>
      </w:r>
    </w:p>
    <w:p w14:paraId="15846F8C" w14:textId="075E3281" w:rsidR="00A0256B" w:rsidRPr="00A0256B" w:rsidRDefault="00A0256B" w:rsidP="00A0256B">
      <w:pPr>
        <w:spacing w:after="200"/>
        <w:ind w:firstLine="720"/>
        <w:rPr>
          <w:rFonts w:eastAsia="Times New Roman"/>
          <w:sz w:val="22"/>
          <w:szCs w:val="22"/>
          <w:lang w:eastAsia="ja-JP"/>
        </w:rPr>
      </w:pPr>
      <w:r w:rsidRPr="00B13AE5">
        <w:rPr>
          <w:rFonts w:eastAsia="Times New Roman"/>
          <w:sz w:val="22"/>
          <w:szCs w:val="22"/>
          <w:lang w:eastAsia="ja-JP"/>
        </w:rPr>
        <w:t xml:space="preserve">This Data Processing </w:t>
      </w:r>
      <w:r w:rsidR="00224E49" w:rsidRPr="00B13AE5">
        <w:rPr>
          <w:rFonts w:eastAsia="Times New Roman"/>
          <w:sz w:val="22"/>
          <w:szCs w:val="22"/>
          <w:lang w:eastAsia="ja-JP"/>
        </w:rPr>
        <w:t xml:space="preserve">Agreement </w:t>
      </w:r>
      <w:r w:rsidRPr="00B13AE5">
        <w:rPr>
          <w:rFonts w:eastAsia="Times New Roman"/>
          <w:sz w:val="22"/>
          <w:szCs w:val="22"/>
          <w:lang w:eastAsia="ja-JP"/>
        </w:rPr>
        <w:t>(“</w:t>
      </w:r>
      <w:r w:rsidR="00224E49" w:rsidRPr="00B13AE5">
        <w:rPr>
          <w:rFonts w:eastAsia="Times New Roman"/>
          <w:sz w:val="22"/>
          <w:szCs w:val="22"/>
          <w:u w:val="single"/>
          <w:lang w:eastAsia="ja-JP"/>
        </w:rPr>
        <w:t>Agreement</w:t>
      </w:r>
      <w:r w:rsidR="003C2EBA" w:rsidRPr="00B13AE5">
        <w:rPr>
          <w:rFonts w:eastAsia="Times New Roman"/>
          <w:sz w:val="22"/>
          <w:szCs w:val="22"/>
          <w:lang w:eastAsia="ja-JP"/>
        </w:rPr>
        <w:t>”) dated</w:t>
      </w:r>
      <w:r w:rsidR="003D3FBF" w:rsidRPr="00B13AE5">
        <w:rPr>
          <w:rFonts w:eastAsia="Times New Roman"/>
          <w:sz w:val="22"/>
          <w:szCs w:val="22"/>
          <w:lang w:eastAsia="ja-JP"/>
        </w:rPr>
        <w:t xml:space="preserve"> </w:t>
      </w:r>
      <w:r w:rsidR="00527F3A" w:rsidRPr="00B13AE5">
        <w:rPr>
          <w:rFonts w:eastAsia="Times New Roman"/>
          <w:sz w:val="22"/>
          <w:szCs w:val="22"/>
          <w:lang w:eastAsia="ja-JP"/>
        </w:rPr>
        <w:t>[DATE]</w:t>
      </w:r>
      <w:r w:rsidR="00E35FEA" w:rsidRPr="00B13AE5">
        <w:rPr>
          <w:rFonts w:eastAsia="Times New Roman"/>
          <w:sz w:val="22"/>
          <w:szCs w:val="22"/>
          <w:lang w:eastAsia="ja-JP"/>
        </w:rPr>
        <w:t xml:space="preserve"> </w:t>
      </w:r>
      <w:r w:rsidRPr="00B13AE5">
        <w:rPr>
          <w:rFonts w:eastAsia="Times New Roman"/>
          <w:sz w:val="22"/>
          <w:szCs w:val="22"/>
          <w:lang w:eastAsia="ja-JP"/>
        </w:rPr>
        <w:t>(the “</w:t>
      </w:r>
      <w:r w:rsidRPr="00B13AE5">
        <w:rPr>
          <w:rFonts w:eastAsia="Times New Roman"/>
          <w:sz w:val="22"/>
          <w:szCs w:val="22"/>
          <w:u w:val="single"/>
          <w:lang w:eastAsia="ja-JP"/>
        </w:rPr>
        <w:t>Effective Date</w:t>
      </w:r>
      <w:r w:rsidRPr="00B13AE5">
        <w:rPr>
          <w:rFonts w:eastAsia="Times New Roman"/>
          <w:sz w:val="22"/>
          <w:szCs w:val="22"/>
          <w:lang w:eastAsia="ja-JP"/>
        </w:rPr>
        <w:t>”) between:</w:t>
      </w:r>
      <w:r w:rsidR="00DB7D1F" w:rsidRPr="00B13AE5">
        <w:rPr>
          <w:rFonts w:eastAsia="Times New Roman"/>
          <w:sz w:val="22"/>
          <w:szCs w:val="22"/>
          <w:lang w:eastAsia="ja-JP"/>
        </w:rPr>
        <w:t xml:space="preserve"> </w:t>
      </w:r>
      <w:r w:rsidR="004704E7" w:rsidRPr="00B13AE5">
        <w:rPr>
          <w:rFonts w:eastAsia="Times New Roman"/>
          <w:sz w:val="22"/>
          <w:szCs w:val="20"/>
          <w:lang w:eastAsia="ja-JP"/>
        </w:rPr>
        <w:t xml:space="preserve"> Fundraise Up Inc.</w:t>
      </w:r>
      <w:r w:rsidRPr="00B13AE5">
        <w:rPr>
          <w:rFonts w:eastAsia="Times New Roman"/>
          <w:color w:val="000000"/>
          <w:sz w:val="22"/>
          <w:szCs w:val="20"/>
          <w:lang w:eastAsia="ja-JP"/>
        </w:rPr>
        <w:t xml:space="preserve">, </w:t>
      </w:r>
      <w:r w:rsidR="00DB7D1F" w:rsidRPr="00B13AE5">
        <w:rPr>
          <w:rFonts w:eastAsia="Times New Roman"/>
          <w:color w:val="000000"/>
          <w:sz w:val="22"/>
          <w:szCs w:val="20"/>
          <w:lang w:eastAsia="ja-JP"/>
        </w:rPr>
        <w:t xml:space="preserve"> </w:t>
      </w:r>
      <w:r w:rsidRPr="00B13AE5">
        <w:rPr>
          <w:rFonts w:eastAsia="Times New Roman"/>
          <w:sz w:val="22"/>
          <w:szCs w:val="20"/>
          <w:lang w:eastAsia="ja-JP"/>
        </w:rPr>
        <w:t xml:space="preserve">a </w:t>
      </w:r>
      <w:r w:rsidR="004704E7" w:rsidRPr="00B13AE5">
        <w:rPr>
          <w:rFonts w:eastAsia="Times New Roman"/>
          <w:sz w:val="22"/>
          <w:szCs w:val="20"/>
          <w:lang w:eastAsia="ja-JP"/>
        </w:rPr>
        <w:t>Delaware corporation</w:t>
      </w:r>
      <w:r w:rsidR="00E2398B" w:rsidRPr="00B13AE5">
        <w:rPr>
          <w:rFonts w:eastAsia="Times New Roman"/>
          <w:sz w:val="22"/>
          <w:szCs w:val="20"/>
          <w:lang w:eastAsia="ja-JP"/>
        </w:rPr>
        <w:t xml:space="preserve"> with a place of business at 114 8</w:t>
      </w:r>
      <w:r w:rsidR="00E2398B" w:rsidRPr="00B13AE5">
        <w:rPr>
          <w:rFonts w:eastAsia="Times New Roman"/>
          <w:sz w:val="22"/>
          <w:szCs w:val="20"/>
          <w:vertAlign w:val="superscript"/>
          <w:lang w:eastAsia="ja-JP"/>
        </w:rPr>
        <w:t>th</w:t>
      </w:r>
      <w:r w:rsidR="00E2398B" w:rsidRPr="00B13AE5">
        <w:rPr>
          <w:rFonts w:eastAsia="Times New Roman"/>
          <w:sz w:val="22"/>
          <w:szCs w:val="20"/>
          <w:lang w:eastAsia="ja-JP"/>
        </w:rPr>
        <w:t xml:space="preserve"> Street, Brooklyn, New York 11215 USA</w:t>
      </w:r>
      <w:r w:rsidRPr="00B13AE5">
        <w:rPr>
          <w:rFonts w:eastAsia="Times New Roman"/>
          <w:sz w:val="22"/>
          <w:szCs w:val="22"/>
          <w:lang w:eastAsia="ja-JP"/>
        </w:rPr>
        <w:t xml:space="preserve">  (“</w:t>
      </w:r>
      <w:r w:rsidRPr="00B13AE5">
        <w:rPr>
          <w:rFonts w:eastAsia="Times New Roman"/>
          <w:sz w:val="22"/>
          <w:szCs w:val="22"/>
          <w:u w:val="single"/>
          <w:lang w:eastAsia="ja-JP"/>
        </w:rPr>
        <w:t>Vendor</w:t>
      </w:r>
      <w:r w:rsidRPr="00B13AE5">
        <w:rPr>
          <w:rFonts w:eastAsia="Times New Roman"/>
          <w:sz w:val="22"/>
          <w:szCs w:val="22"/>
          <w:lang w:eastAsia="ja-JP"/>
        </w:rPr>
        <w:t>”) acting on its own behalf and as agent for its Affiliates,</w:t>
      </w:r>
      <w:r w:rsidR="004F631A" w:rsidRPr="00B13AE5">
        <w:rPr>
          <w:rFonts w:eastAsia="Times New Roman"/>
          <w:sz w:val="22"/>
          <w:szCs w:val="22"/>
          <w:lang w:eastAsia="ja-JP"/>
        </w:rPr>
        <w:t xml:space="preserve"> </w:t>
      </w:r>
      <w:r w:rsidR="00DB7D1F" w:rsidRPr="00B13AE5">
        <w:rPr>
          <w:rFonts w:eastAsia="Times New Roman"/>
          <w:sz w:val="22"/>
          <w:szCs w:val="22"/>
          <w:lang w:eastAsia="ja-JP"/>
        </w:rPr>
        <w:t>and</w:t>
      </w:r>
      <w:r w:rsidR="00527F3A" w:rsidRPr="00B13AE5">
        <w:rPr>
          <w:rFonts w:eastAsia="Times New Roman"/>
          <w:sz w:val="22"/>
          <w:szCs w:val="22"/>
          <w:lang w:eastAsia="ja-JP"/>
        </w:rPr>
        <w:t xml:space="preserve"> [COMPANY]</w:t>
      </w:r>
      <w:r w:rsidRPr="00B13AE5">
        <w:rPr>
          <w:rFonts w:eastAsia="Times New Roman"/>
          <w:color w:val="000000"/>
          <w:sz w:val="22"/>
          <w:szCs w:val="20"/>
          <w:lang w:eastAsia="ja-JP"/>
        </w:rPr>
        <w:t xml:space="preserve">, </w:t>
      </w:r>
      <w:r w:rsidRPr="00B13AE5">
        <w:rPr>
          <w:rFonts w:eastAsia="Times New Roman"/>
          <w:sz w:val="22"/>
          <w:szCs w:val="20"/>
          <w:lang w:eastAsia="ja-JP"/>
        </w:rPr>
        <w:t xml:space="preserve">a </w:t>
      </w:r>
      <w:r w:rsidR="00527F3A" w:rsidRPr="00B13AE5">
        <w:rPr>
          <w:rFonts w:eastAsia="Times New Roman"/>
          <w:sz w:val="22"/>
          <w:szCs w:val="20"/>
          <w:lang w:eastAsia="ja-JP"/>
        </w:rPr>
        <w:t>[STATE/COUNTRY] [TYPE OF COMPANY]</w:t>
      </w:r>
      <w:r w:rsidR="004F631A" w:rsidRPr="00B13AE5">
        <w:rPr>
          <w:rFonts w:eastAsia="Times New Roman"/>
          <w:sz w:val="22"/>
          <w:szCs w:val="20"/>
          <w:lang w:eastAsia="ja-JP"/>
        </w:rPr>
        <w:t xml:space="preserve"> </w:t>
      </w:r>
      <w:r w:rsidR="00E2398B" w:rsidRPr="00B13AE5">
        <w:rPr>
          <w:rFonts w:eastAsia="Times New Roman"/>
          <w:sz w:val="22"/>
          <w:szCs w:val="20"/>
          <w:lang w:eastAsia="ja-JP"/>
        </w:rPr>
        <w:t xml:space="preserve">with a place of business at </w:t>
      </w:r>
      <w:r w:rsidR="00527F3A" w:rsidRPr="00B13AE5">
        <w:rPr>
          <w:rFonts w:eastAsia="Times New Roman"/>
          <w:sz w:val="22"/>
          <w:szCs w:val="20"/>
          <w:lang w:eastAsia="ja-JP"/>
        </w:rPr>
        <w:t>[ADDRESS]</w:t>
      </w:r>
      <w:r w:rsidR="004F631A" w:rsidRPr="00B13AE5">
        <w:rPr>
          <w:rFonts w:eastAsia="Times New Roman"/>
          <w:sz w:val="22"/>
          <w:szCs w:val="20"/>
          <w:lang w:eastAsia="ja-JP"/>
        </w:rPr>
        <w:t xml:space="preserve"> </w:t>
      </w:r>
      <w:r w:rsidRPr="00B13AE5">
        <w:rPr>
          <w:rFonts w:eastAsia="Times New Roman"/>
          <w:sz w:val="22"/>
          <w:szCs w:val="22"/>
          <w:lang w:eastAsia="ja-JP"/>
        </w:rPr>
        <w:t>(“</w:t>
      </w:r>
      <w:r w:rsidRPr="00B13AE5">
        <w:rPr>
          <w:rFonts w:eastAsia="Times New Roman"/>
          <w:sz w:val="22"/>
          <w:szCs w:val="22"/>
          <w:u w:val="single"/>
          <w:lang w:eastAsia="ja-JP"/>
        </w:rPr>
        <w:t>Company</w:t>
      </w:r>
      <w:r w:rsidRPr="00B13AE5">
        <w:rPr>
          <w:rFonts w:eastAsia="Times New Roman"/>
          <w:sz w:val="22"/>
          <w:szCs w:val="22"/>
          <w:lang w:eastAsia="ja-JP"/>
        </w:rPr>
        <w:t>”) acting on its own behalf and as agent for its Affiliates.</w:t>
      </w:r>
      <w:r w:rsidRPr="00A0256B">
        <w:rPr>
          <w:rFonts w:eastAsia="Times New Roman"/>
          <w:sz w:val="22"/>
          <w:szCs w:val="22"/>
          <w:lang w:eastAsia="ja-JP"/>
        </w:rPr>
        <w:t xml:space="preserve"> </w:t>
      </w:r>
    </w:p>
    <w:p w14:paraId="14B7F80C"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Definitions</w:t>
      </w:r>
    </w:p>
    <w:p w14:paraId="70B3A1F3" w14:textId="25EE039F" w:rsidR="00A0256B" w:rsidRPr="00A0256B" w:rsidRDefault="00A0256B" w:rsidP="00A0256B">
      <w:pPr>
        <w:numPr>
          <w:ilvl w:val="1"/>
          <w:numId w:val="12"/>
        </w:numPr>
        <w:spacing w:after="200"/>
        <w:outlineLvl w:val="1"/>
        <w:rPr>
          <w:rFonts w:eastAsia="Times New Roman"/>
          <w:bCs/>
          <w:iCs/>
          <w:sz w:val="22"/>
          <w:szCs w:val="22"/>
          <w:lang w:eastAsia="ja-JP"/>
        </w:rPr>
      </w:pPr>
      <w:bookmarkStart w:id="0" w:name="_Ref28259175"/>
      <w:r w:rsidRPr="00A0256B">
        <w:rPr>
          <w:rFonts w:eastAsia="Times New Roman"/>
          <w:bCs/>
          <w:iCs/>
          <w:sz w:val="22"/>
          <w:szCs w:val="22"/>
          <w:lang w:eastAsia="ja-JP"/>
        </w:rPr>
        <w:t xml:space="preserve">The definitions of this Section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_Ref28259175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1.1</w:t>
      </w:r>
      <w:r w:rsidRPr="00A0256B">
        <w:rPr>
          <w:rFonts w:eastAsia="Times New Roman"/>
          <w:bCs/>
          <w:iCs/>
          <w:sz w:val="22"/>
          <w:szCs w:val="22"/>
          <w:lang w:eastAsia="ja-JP"/>
        </w:rPr>
        <w:fldChar w:fldCharType="end"/>
      </w:r>
      <w:r w:rsidRPr="00A0256B">
        <w:rPr>
          <w:rFonts w:eastAsia="Times New Roman"/>
          <w:bCs/>
          <w:iCs/>
          <w:sz w:val="22"/>
          <w:szCs w:val="22"/>
          <w:lang w:eastAsia="ja-JP"/>
        </w:rPr>
        <w:t xml:space="preserve"> shall apply to this </w:t>
      </w:r>
      <w:r w:rsidR="00B6084D">
        <w:rPr>
          <w:rFonts w:eastAsia="Times New Roman"/>
          <w:bCs/>
          <w:iCs/>
          <w:sz w:val="22"/>
          <w:szCs w:val="22"/>
          <w:lang w:eastAsia="ja-JP"/>
        </w:rPr>
        <w:t>Agreement</w:t>
      </w:r>
      <w:r w:rsidRPr="00A0256B">
        <w:rPr>
          <w:rFonts w:eastAsia="Times New Roman"/>
          <w:bCs/>
          <w:iCs/>
          <w:sz w:val="22"/>
          <w:szCs w:val="22"/>
          <w:lang w:eastAsia="ja-JP"/>
        </w:rPr>
        <w:t>, and cognate terms shall be construed accordingly.</w:t>
      </w:r>
      <w:bookmarkEnd w:id="0"/>
    </w:p>
    <w:p w14:paraId="3658CCF5"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Affiliate</w:t>
      </w:r>
      <w:r w:rsidRPr="00A0256B">
        <w:rPr>
          <w:rFonts w:eastAsia="Times New Roman"/>
          <w:bCs/>
          <w:sz w:val="22"/>
          <w:szCs w:val="20"/>
          <w:lang w:eastAsia="ja-JP"/>
        </w:rPr>
        <w:t>” means any entity which directly or indirectly controls, is controlled by, or is under common control with the subject entity. “</w:t>
      </w:r>
      <w:r w:rsidRPr="00A0256B">
        <w:rPr>
          <w:rFonts w:eastAsia="Times New Roman"/>
          <w:bCs/>
          <w:sz w:val="22"/>
          <w:szCs w:val="20"/>
          <w:u w:val="single"/>
          <w:lang w:eastAsia="ja-JP"/>
        </w:rPr>
        <w:t>Control</w:t>
      </w:r>
      <w:r w:rsidRPr="00A0256B">
        <w:rPr>
          <w:rFonts w:eastAsia="Times New Roman"/>
          <w:bCs/>
          <w:sz w:val="22"/>
          <w:szCs w:val="20"/>
          <w:lang w:eastAsia="ja-JP"/>
        </w:rPr>
        <w:t>,” for purposes of this definition, means direct or indirect ownership or control of more than fifty percent (50%) of the voting interests of the subject entity.</w:t>
      </w:r>
    </w:p>
    <w:p w14:paraId="07BB9937" w14:textId="6F7B4E20"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Applicable Laws</w:t>
      </w:r>
      <w:r w:rsidRPr="00A0256B">
        <w:rPr>
          <w:rFonts w:eastAsia="Times New Roman"/>
          <w:bCs/>
          <w:sz w:val="22"/>
          <w:szCs w:val="20"/>
          <w:lang w:eastAsia="ja-JP"/>
        </w:rPr>
        <w:t xml:space="preserve">” means any United States, </w:t>
      </w:r>
      <w:r w:rsidR="00F34F45">
        <w:rPr>
          <w:rFonts w:eastAsia="Times New Roman"/>
          <w:bCs/>
          <w:sz w:val="22"/>
          <w:szCs w:val="20"/>
          <w:lang w:eastAsia="ja-JP"/>
        </w:rPr>
        <w:t xml:space="preserve">United Kingdom, </w:t>
      </w:r>
      <w:r w:rsidRPr="00A0256B">
        <w:rPr>
          <w:rFonts w:eastAsia="Times New Roman"/>
          <w:bCs/>
          <w:sz w:val="22"/>
          <w:szCs w:val="20"/>
          <w:lang w:eastAsia="ja-JP"/>
        </w:rPr>
        <w:t>European Union (“</w:t>
      </w:r>
      <w:r w:rsidRPr="00A0256B">
        <w:rPr>
          <w:rFonts w:eastAsia="Times New Roman"/>
          <w:bCs/>
          <w:sz w:val="22"/>
          <w:szCs w:val="20"/>
          <w:u w:val="single"/>
          <w:lang w:eastAsia="ja-JP"/>
        </w:rPr>
        <w:t>EU</w:t>
      </w:r>
      <w:r w:rsidRPr="00A0256B">
        <w:rPr>
          <w:rFonts w:eastAsia="Times New Roman"/>
          <w:bCs/>
          <w:sz w:val="22"/>
          <w:szCs w:val="20"/>
          <w:lang w:eastAsia="ja-JP"/>
        </w:rPr>
        <w:t>”), Member State, or the data protection or privacy laws of any other country, that apply to any Company Personal Data and to which any Contracted Vendor or Company Group Member is subject.</w:t>
      </w:r>
    </w:p>
    <w:p w14:paraId="47CE9263" w14:textId="77777777" w:rsidR="00722461" w:rsidRPr="00A0256B" w:rsidRDefault="00722461" w:rsidP="00722461">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Company Group Member</w:t>
      </w:r>
      <w:r w:rsidRPr="00A0256B">
        <w:rPr>
          <w:rFonts w:eastAsia="Times New Roman"/>
          <w:bCs/>
          <w:sz w:val="22"/>
          <w:szCs w:val="20"/>
          <w:lang w:eastAsia="ja-JP"/>
        </w:rPr>
        <w:t>” means Company or any Company Affiliate.</w:t>
      </w:r>
    </w:p>
    <w:p w14:paraId="5390FA1C" w14:textId="5A7FB693" w:rsidR="00722461" w:rsidRPr="00722461" w:rsidRDefault="00722461" w:rsidP="00722461">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Company Personal Data</w:t>
      </w:r>
      <w:r w:rsidRPr="00A0256B">
        <w:rPr>
          <w:rFonts w:eastAsia="Times New Roman"/>
          <w:bCs/>
          <w:sz w:val="22"/>
          <w:szCs w:val="20"/>
          <w:lang w:eastAsia="ja-JP"/>
        </w:rPr>
        <w:t>” means any Personal Data Processed by a Contracted Vendor on behalf of a Company Group Member pursuant to th</w:t>
      </w:r>
      <w:r w:rsidR="00224E49">
        <w:rPr>
          <w:rFonts w:eastAsia="Times New Roman"/>
          <w:bCs/>
          <w:sz w:val="22"/>
          <w:szCs w:val="20"/>
          <w:lang w:eastAsia="ja-JP"/>
        </w:rPr>
        <w:t>is</w:t>
      </w:r>
      <w:r w:rsidRPr="00A0256B">
        <w:rPr>
          <w:rFonts w:eastAsia="Times New Roman"/>
          <w:bCs/>
          <w:sz w:val="22"/>
          <w:szCs w:val="20"/>
          <w:lang w:eastAsia="ja-JP"/>
        </w:rPr>
        <w:t xml:space="preserve"> Agreement.</w:t>
      </w:r>
    </w:p>
    <w:p w14:paraId="42F18E06" w14:textId="42946FC7" w:rsidR="00A0256B" w:rsidRPr="00A0256B" w:rsidRDefault="00A0256B" w:rsidP="00722461">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Contracted Vendor</w:t>
      </w:r>
      <w:r w:rsidRPr="00A0256B">
        <w:rPr>
          <w:rFonts w:eastAsia="Times New Roman"/>
          <w:bCs/>
          <w:sz w:val="22"/>
          <w:szCs w:val="20"/>
          <w:lang w:eastAsia="ja-JP"/>
        </w:rPr>
        <w:t xml:space="preserve">” means Vendor, a sub-contractor, a </w:t>
      </w:r>
      <w:proofErr w:type="spellStart"/>
      <w:r w:rsidRPr="00A0256B">
        <w:rPr>
          <w:rFonts w:eastAsia="Times New Roman"/>
          <w:bCs/>
          <w:sz w:val="22"/>
          <w:szCs w:val="20"/>
          <w:lang w:eastAsia="ja-JP"/>
        </w:rPr>
        <w:t>Subprocessor</w:t>
      </w:r>
      <w:proofErr w:type="spellEnd"/>
      <w:r w:rsidRPr="00A0256B">
        <w:rPr>
          <w:rFonts w:eastAsia="Times New Roman"/>
          <w:bCs/>
          <w:sz w:val="22"/>
          <w:szCs w:val="20"/>
          <w:lang w:eastAsia="ja-JP"/>
        </w:rPr>
        <w:t>, or Affiliates thereof.</w:t>
      </w:r>
    </w:p>
    <w:p w14:paraId="47E25B1D" w14:textId="77777777" w:rsidR="00A0256B" w:rsidRPr="00A0256B" w:rsidRDefault="00A0256B" w:rsidP="00A0256B">
      <w:pPr>
        <w:numPr>
          <w:ilvl w:val="2"/>
          <w:numId w:val="12"/>
        </w:numPr>
        <w:spacing w:after="200"/>
        <w:outlineLvl w:val="2"/>
        <w:rPr>
          <w:rFonts w:eastAsia="Times New Roman"/>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Data Subject</w:t>
      </w:r>
      <w:r w:rsidRPr="00A0256B">
        <w:rPr>
          <w:rFonts w:eastAsia="Times New Roman"/>
          <w:bCs/>
          <w:sz w:val="22"/>
          <w:szCs w:val="20"/>
          <w:lang w:eastAsia="ja-JP"/>
        </w:rPr>
        <w:t xml:space="preserve">” means an identifiable natural person is one who can be identified, directly or indirectly, </w:t>
      </w:r>
      <w:proofErr w:type="gramStart"/>
      <w:r w:rsidRPr="00A0256B">
        <w:rPr>
          <w:rFonts w:eastAsia="Times New Roman"/>
          <w:bCs/>
          <w:sz w:val="22"/>
          <w:szCs w:val="20"/>
          <w:lang w:eastAsia="ja-JP"/>
        </w:rPr>
        <w:t>in particular by</w:t>
      </w:r>
      <w:proofErr w:type="gramEnd"/>
      <w:r w:rsidRPr="00A0256B">
        <w:rPr>
          <w:rFonts w:eastAsia="Times New Roman"/>
          <w:bCs/>
          <w:sz w:val="22"/>
          <w:szCs w:val="20"/>
          <w:lang w:eastAsia="ja-JP"/>
        </w:rPr>
        <w:t xml:space="preserve"> reference to Personal Data, and who is resident in a country, state, or other region to which one or more Applicable Laws apply.</w:t>
      </w:r>
    </w:p>
    <w:p w14:paraId="51CE46B1"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EEA</w:t>
      </w:r>
      <w:r w:rsidRPr="00A0256B">
        <w:rPr>
          <w:rFonts w:eastAsia="Times New Roman"/>
          <w:bCs/>
          <w:sz w:val="22"/>
          <w:szCs w:val="20"/>
          <w:lang w:eastAsia="ja-JP"/>
        </w:rPr>
        <w:t>” means the European Economic Area.</w:t>
      </w:r>
    </w:p>
    <w:p w14:paraId="717AE85D"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EU Data Protection Laws</w:t>
      </w:r>
      <w:r w:rsidRPr="00A0256B">
        <w:rPr>
          <w:rFonts w:eastAsia="Times New Roman"/>
          <w:bCs/>
          <w:sz w:val="22"/>
          <w:szCs w:val="20"/>
          <w:lang w:eastAsia="ja-JP"/>
        </w:rPr>
        <w:t xml:space="preserve">” means EU Directive 95/46/EC, as transposed into domestic legislation of each Member </w:t>
      </w:r>
      <w:proofErr w:type="gramStart"/>
      <w:r w:rsidRPr="00A0256B">
        <w:rPr>
          <w:rFonts w:eastAsia="Times New Roman"/>
          <w:bCs/>
          <w:sz w:val="22"/>
          <w:szCs w:val="20"/>
          <w:lang w:eastAsia="ja-JP"/>
        </w:rPr>
        <w:t>State</w:t>
      </w:r>
      <w:proofErr w:type="gramEnd"/>
      <w:r w:rsidRPr="00A0256B">
        <w:rPr>
          <w:rFonts w:eastAsia="Times New Roman"/>
          <w:bCs/>
          <w:sz w:val="22"/>
          <w:szCs w:val="20"/>
          <w:lang w:eastAsia="ja-JP"/>
        </w:rPr>
        <w:t xml:space="preserve"> and as amended, replaced or superseded from time to time, including by the GDPR and laws implementing or supplementing the GDPR.</w:t>
      </w:r>
    </w:p>
    <w:p w14:paraId="13311F7D" w14:textId="18DD740B"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GDPR</w:t>
      </w:r>
      <w:r w:rsidRPr="00A0256B">
        <w:rPr>
          <w:rFonts w:eastAsia="Times New Roman"/>
          <w:bCs/>
          <w:sz w:val="22"/>
          <w:szCs w:val="20"/>
          <w:lang w:eastAsia="ja-JP"/>
        </w:rPr>
        <w:t>” means</w:t>
      </w:r>
      <w:r w:rsidR="00F34F45">
        <w:rPr>
          <w:rFonts w:eastAsia="Times New Roman"/>
          <w:bCs/>
          <w:sz w:val="22"/>
          <w:szCs w:val="20"/>
          <w:lang w:eastAsia="ja-JP"/>
        </w:rPr>
        <w:t>, as applicable, the</w:t>
      </w:r>
      <w:r w:rsidRPr="00A0256B">
        <w:rPr>
          <w:rFonts w:eastAsia="Times New Roman"/>
          <w:bCs/>
          <w:sz w:val="22"/>
          <w:szCs w:val="20"/>
          <w:lang w:eastAsia="ja-JP"/>
        </w:rPr>
        <w:t xml:space="preserve"> EU General Data Protection Regulation 2016/679</w:t>
      </w:r>
      <w:r w:rsidR="00F34F45">
        <w:rPr>
          <w:rFonts w:eastAsia="Times New Roman"/>
          <w:bCs/>
          <w:sz w:val="22"/>
          <w:szCs w:val="20"/>
          <w:lang w:eastAsia="ja-JP"/>
        </w:rPr>
        <w:t xml:space="preserve"> (“EU GDPR”), including, as retained by the United Kingdom </w:t>
      </w:r>
      <w:r w:rsidR="00F34F45" w:rsidRPr="00F34F45">
        <w:rPr>
          <w:rFonts w:eastAsia="Times New Roman"/>
          <w:bCs/>
          <w:sz w:val="22"/>
          <w:szCs w:val="20"/>
          <w:lang w:eastAsia="ja-JP"/>
        </w:rPr>
        <w:t>by virtue of section 3 of the European Union (Withdrawal) Act 2018</w:t>
      </w:r>
      <w:r w:rsidR="00F34F45">
        <w:rPr>
          <w:rFonts w:eastAsia="Times New Roman"/>
          <w:bCs/>
          <w:sz w:val="22"/>
          <w:szCs w:val="20"/>
          <w:lang w:eastAsia="ja-JP"/>
        </w:rPr>
        <w:t>,</w:t>
      </w:r>
      <w:r w:rsidR="00F34F45" w:rsidRPr="00F34F45">
        <w:rPr>
          <w:rFonts w:eastAsia="Times New Roman"/>
          <w:bCs/>
          <w:sz w:val="22"/>
          <w:szCs w:val="20"/>
          <w:lang w:eastAsia="ja-JP"/>
        </w:rPr>
        <w:t xml:space="preserve"> and as amended</w:t>
      </w:r>
      <w:r w:rsidR="00F34F45">
        <w:rPr>
          <w:rFonts w:eastAsia="Times New Roman"/>
          <w:bCs/>
          <w:sz w:val="22"/>
          <w:szCs w:val="20"/>
          <w:lang w:eastAsia="ja-JP"/>
        </w:rPr>
        <w:t xml:space="preserve"> (“UK GDPR”)</w:t>
      </w:r>
      <w:r w:rsidRPr="00A0256B">
        <w:rPr>
          <w:rFonts w:eastAsia="Times New Roman"/>
          <w:bCs/>
          <w:sz w:val="22"/>
          <w:szCs w:val="20"/>
          <w:lang w:eastAsia="ja-JP"/>
        </w:rPr>
        <w:t>.</w:t>
      </w:r>
    </w:p>
    <w:p w14:paraId="5E91C0DF" w14:textId="77777777" w:rsidR="00A0256B" w:rsidRPr="00A0256B" w:rsidRDefault="00A0256B" w:rsidP="00A0256B">
      <w:pPr>
        <w:numPr>
          <w:ilvl w:val="2"/>
          <w:numId w:val="12"/>
        </w:numPr>
        <w:spacing w:after="200"/>
        <w:outlineLvl w:val="2"/>
        <w:rPr>
          <w:rFonts w:eastAsia="Times New Roman"/>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Personal Data</w:t>
      </w:r>
      <w:r w:rsidRPr="00A0256B">
        <w:rPr>
          <w:rFonts w:eastAsia="Times New Roman"/>
          <w:bCs/>
          <w:sz w:val="22"/>
          <w:szCs w:val="20"/>
          <w:lang w:eastAsia="ja-JP"/>
        </w:rPr>
        <w:t xml:space="preserve">” means generally personal data and/or personal information as defined under Applicable Laws including, but not limited to, ‘personal data’ as defined under the GDPR.  Personal Data </w:t>
      </w:r>
      <w:r w:rsidRPr="00A0256B">
        <w:rPr>
          <w:rFonts w:eastAsia="Times New Roman"/>
          <w:bCs/>
          <w:sz w:val="22"/>
          <w:szCs w:val="22"/>
          <w:lang w:eastAsia="ja-JP"/>
        </w:rPr>
        <w:t>excludes publicly available, anonymous, pseudonymous (provided the key to re-identifying any Data Subject is kept separate and secure), de-identified, statistical, and/or aggregate information.</w:t>
      </w:r>
    </w:p>
    <w:p w14:paraId="18A10946"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lastRenderedPageBreak/>
        <w:t>“</w:t>
      </w:r>
      <w:r w:rsidRPr="00A0256B">
        <w:rPr>
          <w:rFonts w:eastAsia="Times New Roman"/>
          <w:bCs/>
          <w:sz w:val="22"/>
          <w:szCs w:val="20"/>
          <w:u w:val="single"/>
          <w:lang w:eastAsia="ja-JP"/>
        </w:rPr>
        <w:t>Personal Data Breach</w:t>
      </w:r>
      <w:r w:rsidRPr="00A0256B">
        <w:rPr>
          <w:rFonts w:eastAsia="Times New Roman"/>
          <w:bCs/>
          <w:sz w:val="22"/>
          <w:szCs w:val="20"/>
          <w:lang w:eastAsia="ja-JP"/>
        </w:rPr>
        <w:t>” means a breach of security leading to the accidental or unlawful destruction, loss, alteration, unauthorized disclosure of, or access to, exfiltration or theft of, Personal Data transmitted, stored, or otherwise Processed.</w:t>
      </w:r>
    </w:p>
    <w:p w14:paraId="74ED893C"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Processing</w:t>
      </w:r>
      <w:r w:rsidRPr="00A0256B">
        <w:rPr>
          <w:rFonts w:eastAsia="Times New Roman"/>
          <w:bCs/>
          <w:sz w:val="22"/>
          <w:szCs w:val="20"/>
          <w:lang w:eastAsia="ja-JP"/>
        </w:rPr>
        <w:t xml:space="preserve">” or any variation thereof, including cognate forms, with respect to data means any operation or set of operations performed upon personal data or sets of personal data, </w:t>
      </w:r>
      <w:proofErr w:type="gramStart"/>
      <w:r w:rsidRPr="00A0256B">
        <w:rPr>
          <w:rFonts w:eastAsia="Times New Roman"/>
          <w:bCs/>
          <w:sz w:val="22"/>
          <w:szCs w:val="20"/>
          <w:lang w:eastAsia="ja-JP"/>
        </w:rPr>
        <w:t>whether or not</w:t>
      </w:r>
      <w:proofErr w:type="gramEnd"/>
      <w:r w:rsidRPr="00A0256B">
        <w:rPr>
          <w:rFonts w:eastAsia="Times New Roman"/>
          <w:bCs/>
          <w:sz w:val="22"/>
          <w:szCs w:val="20"/>
          <w:lang w:eastAsia="ja-JP"/>
        </w:rPr>
        <w:t xml:space="preserve"> by automated means, including, but not limited to collection, recording, organization, disclosure by transmission, storage, dissemination or otherwise making available, retrieval, use, erasure, or destruction.</w:t>
      </w:r>
    </w:p>
    <w:p w14:paraId="57B6B596"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Restricted Transfer</w:t>
      </w:r>
      <w:r w:rsidRPr="00A0256B">
        <w:rPr>
          <w:rFonts w:eastAsia="Times New Roman"/>
          <w:bCs/>
          <w:sz w:val="22"/>
          <w:szCs w:val="20"/>
          <w:lang w:eastAsia="ja-JP"/>
        </w:rPr>
        <w:t>” means:</w:t>
      </w:r>
    </w:p>
    <w:p w14:paraId="17611FD3" w14:textId="77777777" w:rsidR="00A0256B" w:rsidRPr="00A0256B" w:rsidRDefault="00A0256B" w:rsidP="00A0256B">
      <w:pPr>
        <w:numPr>
          <w:ilvl w:val="3"/>
          <w:numId w:val="12"/>
        </w:numPr>
        <w:autoSpaceDE w:val="0"/>
        <w:autoSpaceDN w:val="0"/>
        <w:spacing w:after="200"/>
        <w:outlineLvl w:val="3"/>
        <w:rPr>
          <w:rFonts w:eastAsia="Times New Roman"/>
          <w:bCs/>
          <w:sz w:val="22"/>
          <w:szCs w:val="28"/>
          <w:lang w:eastAsia="ja-JP"/>
        </w:rPr>
      </w:pPr>
      <w:r w:rsidRPr="00A0256B">
        <w:rPr>
          <w:rFonts w:eastAsia="Times New Roman"/>
          <w:bCs/>
          <w:sz w:val="22"/>
          <w:szCs w:val="28"/>
          <w:lang w:eastAsia="ja-JP"/>
        </w:rPr>
        <w:t>a transfer of Company Personal Data from any Company Group Member to a Contracted Vendor; or</w:t>
      </w:r>
    </w:p>
    <w:p w14:paraId="040E9D73" w14:textId="77777777" w:rsidR="00A0256B" w:rsidRPr="00A0256B" w:rsidRDefault="00A0256B" w:rsidP="00A0256B">
      <w:pPr>
        <w:numPr>
          <w:ilvl w:val="3"/>
          <w:numId w:val="12"/>
        </w:numPr>
        <w:autoSpaceDE w:val="0"/>
        <w:autoSpaceDN w:val="0"/>
        <w:spacing w:after="200"/>
        <w:outlineLvl w:val="3"/>
        <w:rPr>
          <w:rFonts w:eastAsia="Times New Roman"/>
          <w:bCs/>
          <w:sz w:val="22"/>
          <w:szCs w:val="28"/>
          <w:lang w:eastAsia="ja-JP"/>
        </w:rPr>
      </w:pPr>
      <w:r w:rsidRPr="00A0256B">
        <w:rPr>
          <w:rFonts w:eastAsia="Times New Roman"/>
          <w:bCs/>
          <w:sz w:val="22"/>
          <w:szCs w:val="28"/>
          <w:lang w:eastAsia="ja-JP"/>
        </w:rPr>
        <w:t xml:space="preserve">any onward transfer of Company Personal Data from any Contracted Vendor to another Contracted Vendor, or between two facilities of a Contracted </w:t>
      </w:r>
      <w:proofErr w:type="gramStart"/>
      <w:r w:rsidRPr="00A0256B">
        <w:rPr>
          <w:rFonts w:eastAsia="Times New Roman"/>
          <w:bCs/>
          <w:sz w:val="22"/>
          <w:szCs w:val="28"/>
          <w:lang w:eastAsia="ja-JP"/>
        </w:rPr>
        <w:t>Vendor;</w:t>
      </w:r>
      <w:proofErr w:type="gramEnd"/>
    </w:p>
    <w:p w14:paraId="3FBAF64E" w14:textId="77777777" w:rsidR="00A0256B" w:rsidRPr="00A0256B" w:rsidRDefault="00A0256B" w:rsidP="00A0256B">
      <w:pPr>
        <w:spacing w:after="200"/>
        <w:ind w:left="1800"/>
        <w:rPr>
          <w:rFonts w:eastAsia="Times New Roman"/>
          <w:sz w:val="22"/>
          <w:szCs w:val="22"/>
          <w:lang w:eastAsia="ja-JP"/>
        </w:rPr>
      </w:pPr>
      <w:r w:rsidRPr="00A0256B">
        <w:rPr>
          <w:rFonts w:eastAsia="Times New Roman"/>
          <w:sz w:val="22"/>
          <w:szCs w:val="22"/>
          <w:lang w:eastAsia="ja-JP"/>
        </w:rPr>
        <w:t>in each case, where such transfer would be prohibited by Applicable Laws in the absence of appropriate safeguards, as required by GDPR Article 46, including without limitation, Standard Contractual Clauses, binding corporate rules, or other approved mechanisms (“Appropriate Safeguard”).</w:t>
      </w:r>
    </w:p>
    <w:p w14:paraId="0287EAA7" w14:textId="708BFF63"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Services</w:t>
      </w:r>
      <w:r w:rsidRPr="00A0256B">
        <w:rPr>
          <w:rFonts w:eastAsia="Times New Roman"/>
          <w:bCs/>
          <w:sz w:val="22"/>
          <w:szCs w:val="20"/>
          <w:lang w:eastAsia="ja-JP"/>
        </w:rPr>
        <w:t>” means the services and other activities to be provided by a Contracted Vendor for a Company Group Member.</w:t>
      </w:r>
    </w:p>
    <w:p w14:paraId="76255A2C" w14:textId="4FAF47AD" w:rsidR="00A0256B" w:rsidRPr="00722461" w:rsidRDefault="00A0256B" w:rsidP="00722461">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r w:rsidRPr="00A0256B">
        <w:rPr>
          <w:rFonts w:eastAsia="Times New Roman"/>
          <w:bCs/>
          <w:sz w:val="22"/>
          <w:szCs w:val="20"/>
          <w:u w:val="single"/>
          <w:lang w:eastAsia="ja-JP"/>
        </w:rPr>
        <w:t>Standard Contractual Clauses</w:t>
      </w:r>
      <w:r w:rsidRPr="00A0256B">
        <w:rPr>
          <w:rFonts w:eastAsia="Times New Roman"/>
          <w:bCs/>
          <w:sz w:val="22"/>
          <w:szCs w:val="20"/>
          <w:lang w:eastAsia="ja-JP"/>
        </w:rPr>
        <w:t xml:space="preserve">” means the contractual clauses set out by Commission Decision </w:t>
      </w:r>
      <w:r w:rsidR="00F34F45">
        <w:rPr>
          <w:rFonts w:eastAsia="Times New Roman"/>
          <w:bCs/>
          <w:sz w:val="22"/>
          <w:szCs w:val="20"/>
          <w:lang w:eastAsia="ja-JP"/>
        </w:rPr>
        <w:t xml:space="preserve">(EU) </w:t>
      </w:r>
      <w:r w:rsidR="00F34F45" w:rsidRPr="00A0256B">
        <w:rPr>
          <w:rFonts w:eastAsia="Times New Roman"/>
          <w:bCs/>
          <w:sz w:val="22"/>
          <w:szCs w:val="20"/>
          <w:lang w:eastAsia="ja-JP"/>
        </w:rPr>
        <w:t>20</w:t>
      </w:r>
      <w:r w:rsidR="00F34F45">
        <w:rPr>
          <w:rFonts w:eastAsia="Times New Roman"/>
          <w:bCs/>
          <w:sz w:val="22"/>
          <w:szCs w:val="20"/>
          <w:lang w:eastAsia="ja-JP"/>
        </w:rPr>
        <w:t>21</w:t>
      </w:r>
      <w:r w:rsidRPr="00A0256B">
        <w:rPr>
          <w:rFonts w:eastAsia="Times New Roman"/>
          <w:bCs/>
          <w:sz w:val="22"/>
          <w:szCs w:val="20"/>
          <w:lang w:eastAsia="ja-JP"/>
        </w:rPr>
        <w:t>/</w:t>
      </w:r>
      <w:r w:rsidR="00F34F45">
        <w:rPr>
          <w:rFonts w:eastAsia="Times New Roman"/>
          <w:bCs/>
          <w:sz w:val="22"/>
          <w:szCs w:val="20"/>
          <w:lang w:eastAsia="ja-JP"/>
        </w:rPr>
        <w:t>914</w:t>
      </w:r>
      <w:r w:rsidRPr="00A0256B">
        <w:rPr>
          <w:rFonts w:eastAsia="Times New Roman"/>
          <w:bCs/>
          <w:sz w:val="22"/>
          <w:szCs w:val="20"/>
          <w:lang w:eastAsia="ja-JP"/>
        </w:rPr>
        <w:t>.</w:t>
      </w:r>
    </w:p>
    <w:p w14:paraId="120131EA" w14:textId="45D17EF0"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w:t>
      </w:r>
      <w:proofErr w:type="spellStart"/>
      <w:r w:rsidRPr="00A0256B">
        <w:rPr>
          <w:rFonts w:eastAsia="Times New Roman"/>
          <w:bCs/>
          <w:sz w:val="22"/>
          <w:szCs w:val="20"/>
          <w:u w:val="single"/>
          <w:lang w:eastAsia="ja-JP"/>
        </w:rPr>
        <w:t>Subprocessor</w:t>
      </w:r>
      <w:proofErr w:type="spellEnd"/>
      <w:r w:rsidRPr="00A0256B">
        <w:rPr>
          <w:rFonts w:eastAsia="Times New Roman"/>
          <w:bCs/>
          <w:sz w:val="22"/>
          <w:szCs w:val="20"/>
          <w:lang w:eastAsia="ja-JP"/>
        </w:rPr>
        <w:t xml:space="preserve">” means any person (including any third party and any Vendor Affiliate, or sub-contractor, but excluding employees of Vendor or its sub-contractors) appointed by or on behalf of Vendor or any Vendor Affiliate to Process Personal Data on behalf of any Company Group Member in connection with </w:t>
      </w:r>
      <w:r w:rsidR="00220D45" w:rsidRPr="00A0256B">
        <w:rPr>
          <w:rFonts w:eastAsia="Times New Roman"/>
          <w:bCs/>
          <w:sz w:val="22"/>
          <w:szCs w:val="20"/>
          <w:lang w:eastAsia="ja-JP"/>
        </w:rPr>
        <w:t>th</w:t>
      </w:r>
      <w:r w:rsidR="00220D45">
        <w:rPr>
          <w:rFonts w:eastAsia="Times New Roman"/>
          <w:bCs/>
          <w:sz w:val="22"/>
          <w:szCs w:val="20"/>
          <w:lang w:eastAsia="ja-JP"/>
        </w:rPr>
        <w:t>is</w:t>
      </w:r>
      <w:r w:rsidR="00220D45" w:rsidRPr="00A0256B">
        <w:rPr>
          <w:rFonts w:eastAsia="Times New Roman"/>
          <w:bCs/>
          <w:sz w:val="22"/>
          <w:szCs w:val="20"/>
          <w:lang w:eastAsia="ja-JP"/>
        </w:rPr>
        <w:t xml:space="preserve"> </w:t>
      </w:r>
      <w:r w:rsidRPr="00A0256B">
        <w:rPr>
          <w:rFonts w:eastAsia="Times New Roman"/>
          <w:bCs/>
          <w:sz w:val="22"/>
          <w:szCs w:val="20"/>
          <w:lang w:eastAsia="ja-JP"/>
        </w:rPr>
        <w:t>Agreement.</w:t>
      </w:r>
    </w:p>
    <w:p w14:paraId="52E48F16" w14:textId="77777777"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The terms, “</w:t>
      </w:r>
      <w:r w:rsidRPr="00A0256B">
        <w:rPr>
          <w:rFonts w:eastAsia="Times New Roman"/>
          <w:bCs/>
          <w:iCs/>
          <w:sz w:val="22"/>
          <w:szCs w:val="22"/>
          <w:u w:val="single"/>
          <w:lang w:eastAsia="ja-JP"/>
        </w:rPr>
        <w:t>Commission</w:t>
      </w:r>
      <w:r w:rsidRPr="00A0256B">
        <w:rPr>
          <w:rFonts w:eastAsia="Times New Roman"/>
          <w:bCs/>
          <w:iCs/>
          <w:sz w:val="22"/>
          <w:szCs w:val="22"/>
          <w:lang w:eastAsia="ja-JP"/>
        </w:rPr>
        <w:t>,” “</w:t>
      </w:r>
      <w:r w:rsidRPr="00A0256B">
        <w:rPr>
          <w:rFonts w:eastAsia="Times New Roman"/>
          <w:bCs/>
          <w:iCs/>
          <w:sz w:val="22"/>
          <w:szCs w:val="22"/>
          <w:u w:val="single"/>
          <w:lang w:eastAsia="ja-JP"/>
        </w:rPr>
        <w:t>Controller</w:t>
      </w:r>
      <w:r w:rsidRPr="00A0256B">
        <w:rPr>
          <w:rFonts w:eastAsia="Times New Roman"/>
          <w:bCs/>
          <w:iCs/>
          <w:sz w:val="22"/>
          <w:szCs w:val="22"/>
          <w:lang w:eastAsia="ja-JP"/>
        </w:rPr>
        <w:t>,” “</w:t>
      </w:r>
      <w:r w:rsidRPr="00A0256B">
        <w:rPr>
          <w:rFonts w:eastAsia="Times New Roman"/>
          <w:bCs/>
          <w:iCs/>
          <w:sz w:val="22"/>
          <w:szCs w:val="22"/>
          <w:u w:val="single"/>
          <w:lang w:eastAsia="ja-JP"/>
        </w:rPr>
        <w:t>Member State</w:t>
      </w:r>
      <w:r w:rsidRPr="00A0256B">
        <w:rPr>
          <w:rFonts w:eastAsia="Times New Roman"/>
          <w:bCs/>
          <w:iCs/>
          <w:sz w:val="22"/>
          <w:szCs w:val="22"/>
          <w:lang w:eastAsia="ja-JP"/>
        </w:rPr>
        <w:t>,” “</w:t>
      </w:r>
      <w:r w:rsidRPr="00A0256B">
        <w:rPr>
          <w:rFonts w:eastAsia="Times New Roman"/>
          <w:bCs/>
          <w:iCs/>
          <w:sz w:val="22"/>
          <w:szCs w:val="22"/>
          <w:u w:val="single"/>
          <w:lang w:eastAsia="ja-JP"/>
        </w:rPr>
        <w:t>Processor</w:t>
      </w:r>
      <w:r w:rsidRPr="00A0256B">
        <w:rPr>
          <w:rFonts w:eastAsia="Times New Roman"/>
          <w:bCs/>
          <w:iCs/>
          <w:sz w:val="22"/>
          <w:szCs w:val="22"/>
          <w:lang w:eastAsia="ja-JP"/>
        </w:rPr>
        <w:t>,” and “</w:t>
      </w:r>
      <w:r w:rsidRPr="00A0256B">
        <w:rPr>
          <w:rFonts w:eastAsia="Times New Roman"/>
          <w:bCs/>
          <w:iCs/>
          <w:sz w:val="22"/>
          <w:szCs w:val="22"/>
          <w:u w:val="single"/>
          <w:lang w:eastAsia="ja-JP"/>
        </w:rPr>
        <w:t>Supervisory Authority</w:t>
      </w:r>
      <w:r w:rsidRPr="00A0256B">
        <w:rPr>
          <w:rFonts w:eastAsia="Times New Roman"/>
          <w:bCs/>
          <w:iCs/>
          <w:sz w:val="22"/>
          <w:szCs w:val="22"/>
          <w:lang w:eastAsia="ja-JP"/>
        </w:rPr>
        <w:t>” shall have the meanings assigned in the EU Data Protection Laws.</w:t>
      </w:r>
    </w:p>
    <w:p w14:paraId="255217DC" w14:textId="77777777"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The word “include” shall be construed to mean include without limitation, and cognate terms shall be construed accordingly.</w:t>
      </w:r>
    </w:p>
    <w:p w14:paraId="596A16BB"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Status of the Parties.</w:t>
      </w:r>
    </w:p>
    <w:p w14:paraId="55F6EC88" w14:textId="10FF8E57" w:rsidR="00A0256B" w:rsidRPr="00A0256B" w:rsidRDefault="00A0256B" w:rsidP="00A0256B">
      <w:pPr>
        <w:rPr>
          <w:rFonts w:eastAsia="MS Mincho"/>
          <w:sz w:val="22"/>
          <w:szCs w:val="22"/>
          <w:lang w:eastAsia="ja-JP"/>
        </w:rPr>
      </w:pPr>
      <w:r w:rsidRPr="00A0256B">
        <w:rPr>
          <w:rFonts w:eastAsia="MS Mincho"/>
          <w:sz w:val="22"/>
          <w:szCs w:val="22"/>
          <w:lang w:eastAsia="ja-JP"/>
        </w:rPr>
        <w:tab/>
        <w:t xml:space="preserve">For the purposes of this </w:t>
      </w:r>
      <w:r w:rsidR="00B6084D">
        <w:rPr>
          <w:rFonts w:eastAsia="MS Mincho"/>
          <w:sz w:val="22"/>
          <w:szCs w:val="22"/>
          <w:lang w:eastAsia="ja-JP"/>
        </w:rPr>
        <w:t>Agreement</w:t>
      </w:r>
      <w:r w:rsidRPr="00A0256B">
        <w:rPr>
          <w:rFonts w:eastAsia="MS Mincho"/>
          <w:sz w:val="22"/>
          <w:szCs w:val="22"/>
          <w:lang w:eastAsia="ja-JP"/>
        </w:rPr>
        <w:t>, the Vendor shall be a Processor and Company shall be a Controller.</w:t>
      </w:r>
    </w:p>
    <w:p w14:paraId="7CDD0D1F" w14:textId="77777777" w:rsidR="00A0256B" w:rsidRPr="00A0256B" w:rsidRDefault="00A0256B" w:rsidP="00A0256B">
      <w:pPr>
        <w:rPr>
          <w:rFonts w:eastAsia="MS Mincho"/>
          <w:sz w:val="22"/>
          <w:szCs w:val="22"/>
          <w:lang w:eastAsia="ja-JP"/>
        </w:rPr>
      </w:pPr>
    </w:p>
    <w:p w14:paraId="474D57CC"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Processing of Company Personal Data.</w:t>
      </w:r>
    </w:p>
    <w:p w14:paraId="7D2DF88F" w14:textId="77777777"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Each Contracted Vendor shall:</w:t>
      </w:r>
    </w:p>
    <w:p w14:paraId="67A582C7" w14:textId="7F98F266"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comply with all Applicable Laws in the Proce</w:t>
      </w:r>
      <w:r w:rsidR="00263B6B">
        <w:rPr>
          <w:rFonts w:eastAsia="Times New Roman"/>
          <w:bCs/>
          <w:sz w:val="22"/>
          <w:szCs w:val="20"/>
          <w:lang w:eastAsia="ja-JP"/>
        </w:rPr>
        <w:t xml:space="preserve">ssing of Company Personal </w:t>
      </w:r>
      <w:proofErr w:type="gramStart"/>
      <w:r w:rsidR="00263B6B">
        <w:rPr>
          <w:rFonts w:eastAsia="Times New Roman"/>
          <w:bCs/>
          <w:sz w:val="22"/>
          <w:szCs w:val="20"/>
          <w:lang w:eastAsia="ja-JP"/>
        </w:rPr>
        <w:t>Data;</w:t>
      </w:r>
      <w:proofErr w:type="gramEnd"/>
    </w:p>
    <w:p w14:paraId="5396FDCF"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lastRenderedPageBreak/>
        <w:t>if required by GDPR Article 30, maintain a record of all Processing activities carried out on Company Personal Data; and</w:t>
      </w:r>
    </w:p>
    <w:p w14:paraId="6293CF28"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only Process Company Personal Data as instructed by the relevant Company Group Member, unless such Processing is required by Applicable Laws in which case the Contracted Vendor shall inform the Company Group Member of that legal requirement (to the extent permitted by the Applicable Laws) before Processing that Company Personal Data, or unless such instruction is, in the Contracted Vendor’s good faith belief, violative of Applicable Laws, in which case the Contracted Vendor will immediately notify Company that it is unable to comply with said instruction.</w:t>
      </w:r>
    </w:p>
    <w:p w14:paraId="5B7F0D04" w14:textId="77777777"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Each Company Group Member hereby:</w:t>
      </w:r>
    </w:p>
    <w:p w14:paraId="34234A57" w14:textId="77777777" w:rsidR="00A0256B" w:rsidRPr="00A0256B" w:rsidRDefault="00A0256B" w:rsidP="00A0256B">
      <w:pPr>
        <w:numPr>
          <w:ilvl w:val="2"/>
          <w:numId w:val="12"/>
        </w:numPr>
        <w:spacing w:after="200"/>
        <w:outlineLvl w:val="2"/>
        <w:rPr>
          <w:rFonts w:eastAsia="Times New Roman"/>
          <w:b/>
          <w:bCs/>
          <w:sz w:val="22"/>
          <w:szCs w:val="20"/>
          <w:lang w:eastAsia="ja-JP"/>
        </w:rPr>
      </w:pPr>
      <w:bookmarkStart w:id="1" w:name="_Ref28258614"/>
      <w:r w:rsidRPr="00A0256B">
        <w:rPr>
          <w:rFonts w:eastAsia="Times New Roman"/>
          <w:bCs/>
          <w:sz w:val="22"/>
          <w:szCs w:val="20"/>
          <w:lang w:eastAsia="ja-JP"/>
        </w:rPr>
        <w:t>instructs Contracted Vendor, only as necessary to provide, and in furtherance of, the Services, to:</w:t>
      </w:r>
      <w:bookmarkEnd w:id="1"/>
      <w:r w:rsidRPr="00A0256B">
        <w:rPr>
          <w:rFonts w:eastAsia="Times New Roman"/>
          <w:bCs/>
          <w:sz w:val="22"/>
          <w:szCs w:val="20"/>
          <w:lang w:eastAsia="ja-JP"/>
        </w:rPr>
        <w:t xml:space="preserve"> </w:t>
      </w:r>
    </w:p>
    <w:p w14:paraId="48E7B70F" w14:textId="77777777" w:rsidR="00A0256B" w:rsidRPr="00A0256B" w:rsidRDefault="00A0256B" w:rsidP="00A0256B">
      <w:pPr>
        <w:numPr>
          <w:ilvl w:val="3"/>
          <w:numId w:val="12"/>
        </w:numPr>
        <w:autoSpaceDE w:val="0"/>
        <w:autoSpaceDN w:val="0"/>
        <w:spacing w:after="200"/>
        <w:outlineLvl w:val="3"/>
        <w:rPr>
          <w:rFonts w:eastAsia="Times New Roman"/>
          <w:bCs/>
          <w:sz w:val="22"/>
          <w:szCs w:val="28"/>
          <w:lang w:eastAsia="ja-JP"/>
        </w:rPr>
      </w:pPr>
      <w:r w:rsidRPr="00A0256B">
        <w:rPr>
          <w:rFonts w:eastAsia="Times New Roman"/>
          <w:bCs/>
          <w:sz w:val="22"/>
          <w:szCs w:val="28"/>
          <w:lang w:eastAsia="ja-JP"/>
        </w:rPr>
        <w:t>Process Company Personal Data; and</w:t>
      </w:r>
    </w:p>
    <w:p w14:paraId="7C6690EA" w14:textId="77777777" w:rsidR="00A0256B" w:rsidRPr="00A0256B" w:rsidRDefault="00A0256B" w:rsidP="00A0256B">
      <w:pPr>
        <w:numPr>
          <w:ilvl w:val="3"/>
          <w:numId w:val="12"/>
        </w:numPr>
        <w:autoSpaceDE w:val="0"/>
        <w:autoSpaceDN w:val="0"/>
        <w:spacing w:after="200"/>
        <w:outlineLvl w:val="3"/>
        <w:rPr>
          <w:rFonts w:eastAsia="Times New Roman"/>
          <w:bCs/>
          <w:sz w:val="22"/>
          <w:szCs w:val="28"/>
          <w:lang w:eastAsia="ja-JP"/>
        </w:rPr>
      </w:pPr>
      <w:r w:rsidRPr="00A0256B">
        <w:rPr>
          <w:rFonts w:eastAsia="Times New Roman"/>
          <w:bCs/>
          <w:sz w:val="22"/>
          <w:szCs w:val="28"/>
          <w:lang w:eastAsia="ja-JP"/>
        </w:rPr>
        <w:t>transfer Company Personal Data to any country or territory,</w:t>
      </w:r>
    </w:p>
    <w:p w14:paraId="05D25261" w14:textId="77777777" w:rsidR="00A0256B" w:rsidRPr="00A0256B" w:rsidRDefault="00A0256B" w:rsidP="00A0256B">
      <w:pPr>
        <w:spacing w:after="200"/>
        <w:ind w:left="1800"/>
        <w:rPr>
          <w:rFonts w:eastAsia="Times New Roman"/>
          <w:sz w:val="22"/>
          <w:szCs w:val="22"/>
          <w:lang w:eastAsia="ja-JP"/>
        </w:rPr>
      </w:pPr>
      <w:r w:rsidRPr="00A0256B">
        <w:rPr>
          <w:rFonts w:eastAsia="Times New Roman"/>
          <w:sz w:val="22"/>
          <w:szCs w:val="22"/>
          <w:lang w:eastAsia="ja-JP"/>
        </w:rPr>
        <w:t xml:space="preserve">provided that, if necessary, an Appropriate Safeguard is in place before any such transfer takes </w:t>
      </w:r>
      <w:proofErr w:type="gramStart"/>
      <w:r w:rsidRPr="00A0256B">
        <w:rPr>
          <w:rFonts w:eastAsia="Times New Roman"/>
          <w:sz w:val="22"/>
          <w:szCs w:val="22"/>
          <w:lang w:eastAsia="ja-JP"/>
        </w:rPr>
        <w:t>place;</w:t>
      </w:r>
      <w:proofErr w:type="gramEnd"/>
    </w:p>
    <w:p w14:paraId="70AEFFF8" w14:textId="37044838" w:rsidR="00A0256B" w:rsidRPr="00A0256B" w:rsidRDefault="00A0256B" w:rsidP="00A0256B">
      <w:pPr>
        <w:keepNext/>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 xml:space="preserve">agrees that it shall, at all times relevant to this </w:t>
      </w:r>
      <w:r w:rsidR="00B6084D">
        <w:rPr>
          <w:rFonts w:eastAsia="Times New Roman"/>
          <w:bCs/>
          <w:sz w:val="22"/>
          <w:szCs w:val="20"/>
          <w:lang w:eastAsia="ja-JP"/>
        </w:rPr>
        <w:t>Agreement</w:t>
      </w:r>
      <w:r w:rsidRPr="00A0256B">
        <w:rPr>
          <w:rFonts w:eastAsia="Times New Roman"/>
          <w:bCs/>
          <w:sz w:val="22"/>
          <w:szCs w:val="20"/>
          <w:lang w:eastAsia="ja-JP"/>
        </w:rPr>
        <w:t xml:space="preserve">, comply with all Applicable </w:t>
      </w:r>
      <w:proofErr w:type="gramStart"/>
      <w:r w:rsidRPr="00A0256B">
        <w:rPr>
          <w:rFonts w:eastAsia="Times New Roman"/>
          <w:bCs/>
          <w:sz w:val="22"/>
          <w:szCs w:val="20"/>
          <w:lang w:eastAsia="ja-JP"/>
        </w:rPr>
        <w:t>Laws;</w:t>
      </w:r>
      <w:proofErr w:type="gramEnd"/>
    </w:p>
    <w:p w14:paraId="049EB7CC" w14:textId="179AAF1C" w:rsidR="00A0256B" w:rsidRPr="00A0256B" w:rsidRDefault="00A0256B" w:rsidP="00A0256B">
      <w:pPr>
        <w:keepNext/>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 xml:space="preserve">represents and warrants that it is and will at all relevant times remain duly and effectively authorized to give the instruction set out in Section </w:t>
      </w:r>
      <w:r w:rsidRPr="00A0256B">
        <w:rPr>
          <w:rFonts w:eastAsia="Times New Roman"/>
          <w:bCs/>
          <w:sz w:val="22"/>
          <w:szCs w:val="20"/>
          <w:lang w:eastAsia="ja-JP"/>
        </w:rPr>
        <w:fldChar w:fldCharType="begin"/>
      </w:r>
      <w:r w:rsidRPr="00A0256B">
        <w:rPr>
          <w:rFonts w:eastAsia="Times New Roman"/>
          <w:bCs/>
          <w:sz w:val="22"/>
          <w:szCs w:val="20"/>
          <w:lang w:eastAsia="ja-JP"/>
        </w:rPr>
        <w:instrText xml:space="preserve"> REF _Ref28258614 \r \h </w:instrText>
      </w:r>
      <w:r w:rsidRPr="00A0256B">
        <w:rPr>
          <w:rFonts w:eastAsia="Times New Roman"/>
          <w:bCs/>
          <w:sz w:val="22"/>
          <w:szCs w:val="20"/>
          <w:lang w:eastAsia="ja-JP"/>
        </w:rPr>
      </w:r>
      <w:r w:rsidRPr="00A0256B">
        <w:rPr>
          <w:rFonts w:eastAsia="Times New Roman"/>
          <w:bCs/>
          <w:sz w:val="22"/>
          <w:szCs w:val="20"/>
          <w:lang w:eastAsia="ja-JP"/>
        </w:rPr>
        <w:fldChar w:fldCharType="separate"/>
      </w:r>
      <w:r w:rsidR="00FD7D56">
        <w:rPr>
          <w:rFonts w:eastAsia="Times New Roman"/>
          <w:bCs/>
          <w:sz w:val="22"/>
          <w:szCs w:val="20"/>
          <w:lang w:eastAsia="ja-JP"/>
        </w:rPr>
        <w:t>3.2.1</w:t>
      </w:r>
      <w:r w:rsidRPr="00A0256B">
        <w:rPr>
          <w:rFonts w:eastAsia="Times New Roman"/>
          <w:bCs/>
          <w:sz w:val="22"/>
          <w:szCs w:val="20"/>
          <w:lang w:eastAsia="ja-JP"/>
        </w:rPr>
        <w:fldChar w:fldCharType="end"/>
      </w:r>
      <w:r w:rsidRPr="00A0256B">
        <w:rPr>
          <w:rFonts w:eastAsia="Times New Roman"/>
          <w:bCs/>
          <w:sz w:val="22"/>
          <w:szCs w:val="20"/>
          <w:lang w:eastAsia="ja-JP"/>
        </w:rPr>
        <w:t xml:space="preserve"> on behalf of each relevant Company Affiliate; and</w:t>
      </w:r>
    </w:p>
    <w:p w14:paraId="57FDB366" w14:textId="697E85CF" w:rsidR="00A0256B" w:rsidRPr="00A0256B" w:rsidRDefault="00A0256B" w:rsidP="00A0256B">
      <w:pPr>
        <w:keepNext/>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 xml:space="preserve">represents and warrants that it will determine an appropriate legal basis, or bases, for the Processing of Company Personal </w:t>
      </w:r>
      <w:proofErr w:type="gramStart"/>
      <w:r w:rsidRPr="00A0256B">
        <w:rPr>
          <w:rFonts w:eastAsia="Times New Roman"/>
          <w:bCs/>
          <w:sz w:val="22"/>
          <w:szCs w:val="20"/>
          <w:lang w:eastAsia="ja-JP"/>
        </w:rPr>
        <w:t>Data</w:t>
      </w:r>
      <w:proofErr w:type="gramEnd"/>
      <w:r w:rsidRPr="00A0256B">
        <w:rPr>
          <w:rFonts w:eastAsia="Times New Roman"/>
          <w:bCs/>
          <w:sz w:val="22"/>
          <w:szCs w:val="20"/>
          <w:lang w:eastAsia="ja-JP"/>
        </w:rPr>
        <w:t xml:space="preserve"> which is necessary to perform the Services, and will upon request by Vendor provide proof of the legal basis/bases for processing, as well as compliance with Applicable Laws.</w:t>
      </w:r>
      <w:r w:rsidR="00EF0EF3">
        <w:rPr>
          <w:rFonts w:eastAsia="Times New Roman"/>
          <w:bCs/>
          <w:sz w:val="22"/>
          <w:szCs w:val="20"/>
          <w:lang w:eastAsia="ja-JP"/>
        </w:rPr>
        <w:t xml:space="preserve">  </w:t>
      </w:r>
    </w:p>
    <w:p w14:paraId="3AD822ED" w14:textId="6C4F9956"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 xml:space="preserve">Pursuant to GDPR Article 28(3), Company agrees that the descriptions of </w:t>
      </w:r>
      <w:proofErr w:type="spellStart"/>
      <w:r w:rsidRPr="00A0256B">
        <w:rPr>
          <w:rFonts w:eastAsia="Times New Roman"/>
          <w:bCs/>
          <w:iCs/>
          <w:sz w:val="22"/>
          <w:szCs w:val="22"/>
          <w:lang w:eastAsia="ja-JP"/>
        </w:rPr>
        <w:t>i</w:t>
      </w:r>
      <w:proofErr w:type="spellEnd"/>
      <w:r w:rsidRPr="00A0256B">
        <w:rPr>
          <w:rFonts w:eastAsia="Times New Roman"/>
          <w:bCs/>
          <w:iCs/>
          <w:sz w:val="22"/>
          <w:szCs w:val="22"/>
          <w:lang w:eastAsia="ja-JP"/>
        </w:rPr>
        <w:t xml:space="preserve">) the subject matter, duration, </w:t>
      </w:r>
      <w:proofErr w:type="gramStart"/>
      <w:r w:rsidRPr="00A0256B">
        <w:rPr>
          <w:rFonts w:eastAsia="Times New Roman"/>
          <w:bCs/>
          <w:iCs/>
          <w:sz w:val="22"/>
          <w:szCs w:val="22"/>
          <w:lang w:eastAsia="ja-JP"/>
        </w:rPr>
        <w:t>nature</w:t>
      </w:r>
      <w:proofErr w:type="gramEnd"/>
      <w:r w:rsidRPr="00A0256B">
        <w:rPr>
          <w:rFonts w:eastAsia="Times New Roman"/>
          <w:bCs/>
          <w:iCs/>
          <w:sz w:val="22"/>
          <w:szCs w:val="22"/>
          <w:lang w:eastAsia="ja-JP"/>
        </w:rPr>
        <w:t xml:space="preserve"> and purpose of Processing, ii) the types of Company Personal Data to be Processed, and iii) the categories of Data Subjects within the Company Personal Data to be Processed under th</w:t>
      </w:r>
      <w:r w:rsidR="00E2398B">
        <w:rPr>
          <w:rFonts w:eastAsia="Times New Roman"/>
          <w:bCs/>
          <w:iCs/>
          <w:sz w:val="22"/>
          <w:szCs w:val="22"/>
          <w:lang w:eastAsia="ja-JP"/>
        </w:rPr>
        <w:t>is</w:t>
      </w:r>
      <w:r w:rsidRPr="00A0256B">
        <w:rPr>
          <w:rFonts w:eastAsia="Times New Roman"/>
          <w:bCs/>
          <w:iCs/>
          <w:sz w:val="22"/>
          <w:szCs w:val="22"/>
          <w:lang w:eastAsia="ja-JP"/>
        </w:rPr>
        <w:t xml:space="preserve"> Agreement, are sufficiently specified in the Contracted Vendor’s technical documentation as received by Company and within Annex 1, attached to this </w:t>
      </w:r>
      <w:r w:rsidR="00B6084D">
        <w:rPr>
          <w:rFonts w:eastAsia="Times New Roman"/>
          <w:bCs/>
          <w:iCs/>
          <w:sz w:val="22"/>
          <w:szCs w:val="22"/>
          <w:lang w:eastAsia="ja-JP"/>
        </w:rPr>
        <w:t>Agreement</w:t>
      </w:r>
      <w:r w:rsidRPr="00A0256B">
        <w:rPr>
          <w:rFonts w:eastAsia="Times New Roman"/>
          <w:bCs/>
          <w:iCs/>
          <w:sz w:val="22"/>
          <w:szCs w:val="22"/>
          <w:lang w:eastAsia="ja-JP"/>
        </w:rPr>
        <w:t xml:space="preserve">. Company will notify the Contracted Vendor with respect to any revisions to such descriptions that may be required regarding the Company Personal Data. Upon written notice to Company, the Vendor may make reasonable revisions to such descriptions from time to time </w:t>
      </w:r>
      <w:proofErr w:type="gramStart"/>
      <w:r w:rsidRPr="00A0256B">
        <w:rPr>
          <w:rFonts w:eastAsia="Times New Roman"/>
          <w:bCs/>
          <w:iCs/>
          <w:sz w:val="22"/>
          <w:szCs w:val="22"/>
          <w:lang w:eastAsia="ja-JP"/>
        </w:rPr>
        <w:t>in order to</w:t>
      </w:r>
      <w:proofErr w:type="gramEnd"/>
      <w:r w:rsidRPr="00A0256B">
        <w:rPr>
          <w:rFonts w:eastAsia="Times New Roman"/>
          <w:bCs/>
          <w:iCs/>
          <w:sz w:val="22"/>
          <w:szCs w:val="22"/>
          <w:lang w:eastAsia="ja-JP"/>
        </w:rPr>
        <w:t xml:space="preserve"> maintain compliance with Applicable Laws.</w:t>
      </w:r>
    </w:p>
    <w:p w14:paraId="10C0B3E5"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Contracted Vendor Personnel.</w:t>
      </w:r>
    </w:p>
    <w:p w14:paraId="4BC20AD8" w14:textId="3DE85EFA" w:rsidR="00A0256B" w:rsidRPr="00A0256B" w:rsidRDefault="00A0256B" w:rsidP="00A0256B">
      <w:pPr>
        <w:spacing w:after="200"/>
        <w:ind w:firstLine="720"/>
        <w:rPr>
          <w:rFonts w:eastAsia="Times New Roman"/>
          <w:sz w:val="22"/>
          <w:szCs w:val="22"/>
          <w:lang w:eastAsia="ja-JP"/>
        </w:rPr>
      </w:pPr>
      <w:r w:rsidRPr="00A0256B">
        <w:rPr>
          <w:rFonts w:eastAsia="Times New Roman"/>
          <w:sz w:val="22"/>
          <w:szCs w:val="22"/>
          <w:lang w:eastAsia="ja-JP"/>
        </w:rPr>
        <w:t xml:space="preserve">Each Contracted Vendor shall ensure the reliability of any employee, agent or contractor of such Contracted Vendor who may have access to the Company Personal Data; and ensure in each case that access is strictly limited to those individuals that have a need to know or access the relevant Company Personal Data to perform the </w:t>
      </w:r>
      <w:r w:rsidR="00220D45">
        <w:rPr>
          <w:rFonts w:eastAsia="Times New Roman"/>
          <w:sz w:val="22"/>
          <w:szCs w:val="22"/>
          <w:lang w:eastAsia="ja-JP"/>
        </w:rPr>
        <w:t>Services hereunder</w:t>
      </w:r>
      <w:r w:rsidRPr="00A0256B">
        <w:rPr>
          <w:rFonts w:eastAsia="Times New Roman"/>
          <w:sz w:val="22"/>
          <w:szCs w:val="22"/>
          <w:lang w:eastAsia="ja-JP"/>
        </w:rPr>
        <w:t>, who are obligated to keep such Company Personal Data confidential, and to comply with Applicable Laws in the contex</w:t>
      </w:r>
      <w:r w:rsidR="00C64153">
        <w:rPr>
          <w:rFonts w:eastAsia="Times New Roman"/>
          <w:sz w:val="22"/>
          <w:szCs w:val="22"/>
          <w:lang w:eastAsia="ja-JP"/>
        </w:rPr>
        <w:t>t of that individual's duties.</w:t>
      </w:r>
    </w:p>
    <w:p w14:paraId="6E26D237"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lastRenderedPageBreak/>
        <w:t>Security.</w:t>
      </w:r>
    </w:p>
    <w:p w14:paraId="625B6856" w14:textId="77777777" w:rsidR="00A0256B" w:rsidRPr="00A0256B" w:rsidRDefault="00A0256B" w:rsidP="00A0256B">
      <w:pPr>
        <w:numPr>
          <w:ilvl w:val="1"/>
          <w:numId w:val="12"/>
        </w:numPr>
        <w:spacing w:after="200"/>
        <w:outlineLvl w:val="1"/>
        <w:rPr>
          <w:rFonts w:eastAsia="Times New Roman"/>
          <w:bCs/>
          <w:iCs/>
          <w:sz w:val="22"/>
          <w:szCs w:val="22"/>
          <w:lang w:eastAsia="ja-JP"/>
        </w:rPr>
      </w:pPr>
      <w:bookmarkStart w:id="2" w:name="_Ref28258632"/>
      <w:r w:rsidRPr="00A0256B">
        <w:rPr>
          <w:rFonts w:eastAsia="Times New Roman"/>
          <w:bCs/>
          <w:iCs/>
          <w:sz w:val="22"/>
          <w:szCs w:val="22"/>
          <w:lang w:eastAsia="ja-JP"/>
        </w:rPr>
        <w:t>Taking into account the state of the art, the costs of implementation and the nature, scope, context and purposes of Processing as well as the risks (of varying likelihood and severity) to the rights and freedoms of natural persons, each Contracted Vendor shall implement appropriate technical and organizational measures to ensure a level of security appropriate to those risks, including, as appropriate, the security measures referred to in GDPR Article 32(1) (e.g., pseudonymization and encryption).</w:t>
      </w:r>
      <w:bookmarkEnd w:id="2"/>
    </w:p>
    <w:p w14:paraId="67BE9BDB" w14:textId="421DA540"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 xml:space="preserve">In assessing the appropriate level of security provided under Section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_Ref28258632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5.1</w:t>
      </w:r>
      <w:r w:rsidRPr="00A0256B">
        <w:rPr>
          <w:rFonts w:eastAsia="Times New Roman"/>
          <w:bCs/>
          <w:iCs/>
          <w:sz w:val="22"/>
          <w:szCs w:val="22"/>
          <w:lang w:eastAsia="ja-JP"/>
        </w:rPr>
        <w:fldChar w:fldCharType="end"/>
      </w:r>
      <w:r w:rsidRPr="00A0256B">
        <w:rPr>
          <w:rFonts w:eastAsia="Times New Roman"/>
          <w:bCs/>
          <w:iCs/>
          <w:sz w:val="22"/>
          <w:szCs w:val="22"/>
          <w:lang w:eastAsia="ja-JP"/>
        </w:rPr>
        <w:t xml:space="preserve">, each Contracted Vendor shall </w:t>
      </w:r>
      <w:proofErr w:type="gramStart"/>
      <w:r w:rsidRPr="00A0256B">
        <w:rPr>
          <w:rFonts w:eastAsia="Times New Roman"/>
          <w:bCs/>
          <w:iCs/>
          <w:sz w:val="22"/>
          <w:szCs w:val="22"/>
          <w:lang w:eastAsia="ja-JP"/>
        </w:rPr>
        <w:t>take into account</w:t>
      </w:r>
      <w:proofErr w:type="gramEnd"/>
      <w:r w:rsidRPr="00A0256B">
        <w:rPr>
          <w:rFonts w:eastAsia="Times New Roman"/>
          <w:bCs/>
          <w:iCs/>
          <w:sz w:val="22"/>
          <w:szCs w:val="22"/>
          <w:lang w:eastAsia="ja-JP"/>
        </w:rPr>
        <w:t xml:space="preserve"> the risks that arise from their respective Processing of Company Personal Data, including Personal Data Breaches</w:t>
      </w:r>
    </w:p>
    <w:p w14:paraId="166E20FD" w14:textId="77777777" w:rsidR="00A0256B" w:rsidRPr="00A0256B" w:rsidRDefault="00A0256B" w:rsidP="00A0256B">
      <w:pPr>
        <w:numPr>
          <w:ilvl w:val="1"/>
          <w:numId w:val="12"/>
        </w:numPr>
        <w:spacing w:after="200"/>
        <w:outlineLvl w:val="1"/>
        <w:rPr>
          <w:rFonts w:eastAsia="Times New Roman"/>
          <w:bCs/>
          <w:iCs/>
          <w:sz w:val="22"/>
          <w:szCs w:val="22"/>
          <w:lang w:eastAsia="ja-JP"/>
        </w:rPr>
      </w:pPr>
      <w:proofErr w:type="gramStart"/>
      <w:r w:rsidRPr="00A0256B">
        <w:rPr>
          <w:rFonts w:eastAsia="Times New Roman"/>
          <w:bCs/>
          <w:iCs/>
          <w:sz w:val="22"/>
          <w:szCs w:val="22"/>
          <w:lang w:eastAsia="ja-JP"/>
        </w:rPr>
        <w:t>In the event that</w:t>
      </w:r>
      <w:proofErr w:type="gramEnd"/>
      <w:r w:rsidRPr="00A0256B">
        <w:rPr>
          <w:rFonts w:eastAsia="Times New Roman"/>
          <w:bCs/>
          <w:iCs/>
          <w:sz w:val="22"/>
          <w:szCs w:val="22"/>
          <w:lang w:eastAsia="ja-JP"/>
        </w:rPr>
        <w:t xml:space="preserve"> the Vendor receives a request from a government agency or law enforcement authority to produce, or provide it with access to, Company Personal Data, it shall:</w:t>
      </w:r>
    </w:p>
    <w:p w14:paraId="19F44A20" w14:textId="77777777" w:rsidR="00A0256B" w:rsidRPr="00A0256B" w:rsidRDefault="00A0256B" w:rsidP="00A0256B">
      <w:pPr>
        <w:numPr>
          <w:ilvl w:val="2"/>
          <w:numId w:val="12"/>
        </w:numPr>
        <w:spacing w:after="200"/>
        <w:outlineLvl w:val="0"/>
        <w:rPr>
          <w:rFonts w:eastAsia="Times New Roman"/>
          <w:bCs/>
          <w:sz w:val="22"/>
          <w:szCs w:val="22"/>
          <w:lang w:eastAsia="ja-JP"/>
        </w:rPr>
      </w:pPr>
      <w:bookmarkStart w:id="3" w:name="_Ref28258653"/>
      <w:r w:rsidRPr="00A0256B">
        <w:rPr>
          <w:rFonts w:eastAsia="Times New Roman"/>
          <w:bCs/>
          <w:sz w:val="22"/>
          <w:szCs w:val="22"/>
          <w:lang w:eastAsia="ja-JP"/>
        </w:rPr>
        <w:t xml:space="preserve">Notify Company of such request to the extent that it is legally permitted to do </w:t>
      </w:r>
      <w:proofErr w:type="gramStart"/>
      <w:r w:rsidRPr="00A0256B">
        <w:rPr>
          <w:rFonts w:eastAsia="Times New Roman"/>
          <w:bCs/>
          <w:sz w:val="22"/>
          <w:szCs w:val="22"/>
          <w:lang w:eastAsia="ja-JP"/>
        </w:rPr>
        <w:t>so;</w:t>
      </w:r>
      <w:proofErr w:type="gramEnd"/>
    </w:p>
    <w:p w14:paraId="4BCC7AA7" w14:textId="77777777" w:rsidR="00A0256B" w:rsidRPr="00A0256B" w:rsidRDefault="00A0256B" w:rsidP="00A0256B">
      <w:pPr>
        <w:numPr>
          <w:ilvl w:val="2"/>
          <w:numId w:val="12"/>
        </w:numPr>
        <w:spacing w:after="200"/>
        <w:outlineLvl w:val="0"/>
        <w:rPr>
          <w:rFonts w:eastAsia="Times New Roman"/>
          <w:bCs/>
          <w:sz w:val="22"/>
          <w:szCs w:val="22"/>
          <w:lang w:eastAsia="ja-JP"/>
        </w:rPr>
      </w:pPr>
      <w:r w:rsidRPr="00A0256B">
        <w:rPr>
          <w:rFonts w:eastAsia="Times New Roman"/>
          <w:bCs/>
          <w:sz w:val="22"/>
          <w:szCs w:val="22"/>
          <w:lang w:eastAsia="ja-JP"/>
        </w:rPr>
        <w:t>Make a good faith effort to determine if such request is legally enforceable; and</w:t>
      </w:r>
    </w:p>
    <w:p w14:paraId="7E8A2803" w14:textId="77777777" w:rsidR="00A0256B" w:rsidRPr="00A0256B" w:rsidRDefault="00A0256B" w:rsidP="00A0256B">
      <w:pPr>
        <w:numPr>
          <w:ilvl w:val="2"/>
          <w:numId w:val="12"/>
        </w:numPr>
        <w:spacing w:after="200"/>
        <w:outlineLvl w:val="0"/>
        <w:rPr>
          <w:rFonts w:eastAsia="Times New Roman"/>
          <w:bCs/>
          <w:sz w:val="22"/>
          <w:szCs w:val="22"/>
          <w:lang w:eastAsia="ja-JP"/>
        </w:rPr>
      </w:pPr>
      <w:r w:rsidRPr="00A0256B">
        <w:rPr>
          <w:rFonts w:eastAsia="Times New Roman"/>
          <w:bCs/>
          <w:sz w:val="22"/>
          <w:szCs w:val="22"/>
          <w:lang w:eastAsia="ja-JP"/>
        </w:rPr>
        <w:t>Disclose only the minimum necessary to comply with such request if such request is legally enforceable.</w:t>
      </w:r>
    </w:p>
    <w:p w14:paraId="152E0902" w14:textId="77777777" w:rsidR="00A0256B" w:rsidRPr="00A0256B" w:rsidRDefault="00A0256B" w:rsidP="00A0256B">
      <w:pPr>
        <w:numPr>
          <w:ilvl w:val="0"/>
          <w:numId w:val="12"/>
        </w:numPr>
        <w:spacing w:after="200"/>
        <w:outlineLvl w:val="0"/>
        <w:rPr>
          <w:rFonts w:eastAsia="Times New Roman"/>
          <w:bCs/>
          <w:sz w:val="22"/>
          <w:szCs w:val="22"/>
          <w:lang w:eastAsia="ja-JP"/>
        </w:rPr>
      </w:pPr>
      <w:bookmarkStart w:id="4" w:name="_Ref57036146"/>
      <w:proofErr w:type="spellStart"/>
      <w:r w:rsidRPr="00A0256B">
        <w:rPr>
          <w:rFonts w:eastAsia="Times New Roman"/>
          <w:bCs/>
          <w:sz w:val="22"/>
          <w:szCs w:val="22"/>
          <w:lang w:eastAsia="ja-JP"/>
        </w:rPr>
        <w:t>Subprocessing</w:t>
      </w:r>
      <w:proofErr w:type="spellEnd"/>
      <w:r w:rsidRPr="00A0256B">
        <w:rPr>
          <w:rFonts w:eastAsia="Times New Roman"/>
          <w:bCs/>
          <w:sz w:val="22"/>
          <w:szCs w:val="22"/>
          <w:lang w:eastAsia="ja-JP"/>
        </w:rPr>
        <w:t>.</w:t>
      </w:r>
      <w:bookmarkEnd w:id="3"/>
      <w:bookmarkEnd w:id="4"/>
    </w:p>
    <w:p w14:paraId="221C4667" w14:textId="30575C91"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Each Company Group Member</w:t>
      </w:r>
      <w:r w:rsidR="00565063">
        <w:rPr>
          <w:rFonts w:eastAsia="Times New Roman"/>
          <w:bCs/>
          <w:iCs/>
          <w:sz w:val="22"/>
          <w:szCs w:val="22"/>
          <w:lang w:eastAsia="ja-JP"/>
        </w:rPr>
        <w:t xml:space="preserve">: </w:t>
      </w:r>
      <w:proofErr w:type="spellStart"/>
      <w:r w:rsidR="00565063">
        <w:rPr>
          <w:rFonts w:eastAsia="Times New Roman"/>
          <w:bCs/>
          <w:iCs/>
          <w:sz w:val="22"/>
          <w:szCs w:val="22"/>
          <w:lang w:eastAsia="ja-JP"/>
        </w:rPr>
        <w:t>i</w:t>
      </w:r>
      <w:proofErr w:type="spellEnd"/>
      <w:r w:rsidR="00565063">
        <w:rPr>
          <w:rFonts w:eastAsia="Times New Roman"/>
          <w:bCs/>
          <w:iCs/>
          <w:sz w:val="22"/>
          <w:szCs w:val="22"/>
          <w:lang w:eastAsia="ja-JP"/>
        </w:rPr>
        <w:t xml:space="preserve">) approves Vendor’s and each Vendor Affiliate’s current </w:t>
      </w:r>
      <w:proofErr w:type="spellStart"/>
      <w:r w:rsidR="00565063">
        <w:rPr>
          <w:rFonts w:eastAsia="Times New Roman"/>
          <w:bCs/>
          <w:iCs/>
          <w:sz w:val="22"/>
          <w:szCs w:val="22"/>
          <w:lang w:eastAsia="ja-JP"/>
        </w:rPr>
        <w:t>Subprocessors</w:t>
      </w:r>
      <w:proofErr w:type="spellEnd"/>
      <w:r w:rsidR="00565063">
        <w:rPr>
          <w:rFonts w:eastAsia="Times New Roman"/>
          <w:bCs/>
          <w:iCs/>
          <w:sz w:val="22"/>
          <w:szCs w:val="22"/>
          <w:lang w:eastAsia="ja-JP"/>
        </w:rPr>
        <w:t>; and ii)</w:t>
      </w:r>
      <w:r w:rsidRPr="00A0256B">
        <w:rPr>
          <w:rFonts w:eastAsia="Times New Roman"/>
          <w:bCs/>
          <w:iCs/>
          <w:sz w:val="22"/>
          <w:szCs w:val="22"/>
          <w:lang w:eastAsia="ja-JP"/>
        </w:rPr>
        <w:t xml:space="preserve"> authorizes Vendor and each Vendor Affiliate to appoint (and permit authorized </w:t>
      </w:r>
      <w:proofErr w:type="spellStart"/>
      <w:r w:rsidRPr="00A0256B">
        <w:rPr>
          <w:rFonts w:eastAsia="Times New Roman"/>
          <w:bCs/>
          <w:iCs/>
          <w:sz w:val="22"/>
          <w:szCs w:val="22"/>
          <w:lang w:eastAsia="ja-JP"/>
        </w:rPr>
        <w:t>Subprocessors</w:t>
      </w:r>
      <w:proofErr w:type="spellEnd"/>
      <w:r w:rsidRPr="00A0256B">
        <w:rPr>
          <w:rFonts w:eastAsia="Times New Roman"/>
          <w:bCs/>
          <w:iCs/>
          <w:sz w:val="22"/>
          <w:szCs w:val="22"/>
          <w:lang w:eastAsia="ja-JP"/>
        </w:rPr>
        <w:t xml:space="preserve"> to appoint) </w:t>
      </w:r>
      <w:r w:rsidR="00565063">
        <w:rPr>
          <w:rFonts w:eastAsia="Times New Roman"/>
          <w:bCs/>
          <w:iCs/>
          <w:sz w:val="22"/>
          <w:szCs w:val="22"/>
          <w:lang w:eastAsia="ja-JP"/>
        </w:rPr>
        <w:t xml:space="preserve">new </w:t>
      </w:r>
      <w:proofErr w:type="spellStart"/>
      <w:r w:rsidRPr="00A0256B">
        <w:rPr>
          <w:rFonts w:eastAsia="Times New Roman"/>
          <w:bCs/>
          <w:iCs/>
          <w:sz w:val="22"/>
          <w:szCs w:val="22"/>
          <w:lang w:eastAsia="ja-JP"/>
        </w:rPr>
        <w:t>Subprocessors</w:t>
      </w:r>
      <w:proofErr w:type="spellEnd"/>
      <w:r w:rsidR="00FD7D56">
        <w:rPr>
          <w:rFonts w:eastAsia="Times New Roman"/>
          <w:bCs/>
          <w:iCs/>
          <w:sz w:val="22"/>
          <w:szCs w:val="22"/>
          <w:lang w:eastAsia="ja-JP"/>
        </w:rPr>
        <w:t xml:space="preserve"> in accordance with this Section </w:t>
      </w:r>
      <w:r w:rsidR="00FD7D56">
        <w:rPr>
          <w:rFonts w:eastAsia="Times New Roman"/>
          <w:bCs/>
          <w:iCs/>
          <w:sz w:val="22"/>
          <w:szCs w:val="22"/>
          <w:lang w:eastAsia="ja-JP"/>
        </w:rPr>
        <w:fldChar w:fldCharType="begin"/>
      </w:r>
      <w:r w:rsidR="00FD7D56">
        <w:rPr>
          <w:rFonts w:eastAsia="Times New Roman"/>
          <w:bCs/>
          <w:iCs/>
          <w:sz w:val="22"/>
          <w:szCs w:val="22"/>
          <w:lang w:eastAsia="ja-JP"/>
        </w:rPr>
        <w:instrText xml:space="preserve"> REF _Ref57036146 \r \h </w:instrText>
      </w:r>
      <w:r w:rsidR="00FD7D56">
        <w:rPr>
          <w:rFonts w:eastAsia="Times New Roman"/>
          <w:bCs/>
          <w:iCs/>
          <w:sz w:val="22"/>
          <w:szCs w:val="22"/>
          <w:lang w:eastAsia="ja-JP"/>
        </w:rPr>
      </w:r>
      <w:r w:rsidR="00FD7D56">
        <w:rPr>
          <w:rFonts w:eastAsia="Times New Roman"/>
          <w:bCs/>
          <w:iCs/>
          <w:sz w:val="22"/>
          <w:szCs w:val="22"/>
          <w:lang w:eastAsia="ja-JP"/>
        </w:rPr>
        <w:fldChar w:fldCharType="separate"/>
      </w:r>
      <w:r w:rsidR="00FD7D56">
        <w:rPr>
          <w:rFonts w:eastAsia="Times New Roman"/>
          <w:bCs/>
          <w:iCs/>
          <w:sz w:val="22"/>
          <w:szCs w:val="22"/>
          <w:lang w:eastAsia="ja-JP"/>
        </w:rPr>
        <w:t>6</w:t>
      </w:r>
      <w:r w:rsidR="00FD7D56">
        <w:rPr>
          <w:rFonts w:eastAsia="Times New Roman"/>
          <w:bCs/>
          <w:iCs/>
          <w:sz w:val="22"/>
          <w:szCs w:val="22"/>
          <w:lang w:eastAsia="ja-JP"/>
        </w:rPr>
        <w:fldChar w:fldCharType="end"/>
      </w:r>
      <w:r w:rsidRPr="00A0256B">
        <w:rPr>
          <w:rFonts w:eastAsia="Times New Roman"/>
          <w:bCs/>
          <w:iCs/>
          <w:sz w:val="22"/>
          <w:szCs w:val="22"/>
          <w:lang w:eastAsia="ja-JP"/>
        </w:rPr>
        <w:t xml:space="preserve">. </w:t>
      </w:r>
    </w:p>
    <w:p w14:paraId="31C5AB7F" w14:textId="5A418A25" w:rsidR="00A0256B" w:rsidRPr="00A0256B" w:rsidRDefault="002E4DAA" w:rsidP="002E4DAA">
      <w:pPr>
        <w:numPr>
          <w:ilvl w:val="1"/>
          <w:numId w:val="12"/>
        </w:numPr>
        <w:spacing w:after="200"/>
        <w:outlineLvl w:val="1"/>
        <w:rPr>
          <w:rFonts w:eastAsia="Times New Roman"/>
          <w:bCs/>
          <w:iCs/>
          <w:sz w:val="22"/>
          <w:szCs w:val="22"/>
          <w:lang w:eastAsia="ja-JP"/>
        </w:rPr>
      </w:pPr>
      <w:r w:rsidRPr="002E4DAA">
        <w:rPr>
          <w:rFonts w:eastAsia="Times New Roman"/>
          <w:bCs/>
          <w:iCs/>
          <w:sz w:val="22"/>
          <w:szCs w:val="22"/>
          <w:lang w:eastAsia="ja-JP"/>
        </w:rPr>
        <w:t xml:space="preserve">Vendor and any applicable Vendor Affiliate shall give Company, if it subscribes, prior written notice before appointing any new </w:t>
      </w:r>
      <w:proofErr w:type="spellStart"/>
      <w:r w:rsidRPr="002E4DAA">
        <w:rPr>
          <w:rFonts w:eastAsia="Times New Roman"/>
          <w:bCs/>
          <w:iCs/>
          <w:sz w:val="22"/>
          <w:szCs w:val="22"/>
          <w:lang w:eastAsia="ja-JP"/>
        </w:rPr>
        <w:t>Subprocessor</w:t>
      </w:r>
      <w:proofErr w:type="spellEnd"/>
      <w:r w:rsidRPr="002E4DAA">
        <w:rPr>
          <w:rFonts w:eastAsia="Times New Roman"/>
          <w:bCs/>
          <w:iCs/>
          <w:sz w:val="22"/>
          <w:szCs w:val="22"/>
          <w:lang w:eastAsia="ja-JP"/>
        </w:rPr>
        <w:t xml:space="preserve">, including details of the Processing to be undertaken by the </w:t>
      </w:r>
      <w:proofErr w:type="spellStart"/>
      <w:r w:rsidRPr="002E4DAA">
        <w:rPr>
          <w:rFonts w:eastAsia="Times New Roman"/>
          <w:bCs/>
          <w:iCs/>
          <w:sz w:val="22"/>
          <w:szCs w:val="22"/>
          <w:lang w:eastAsia="ja-JP"/>
        </w:rPr>
        <w:t>Subprocessor</w:t>
      </w:r>
      <w:proofErr w:type="spellEnd"/>
      <w:r w:rsidRPr="002E4DAA">
        <w:rPr>
          <w:rFonts w:eastAsia="Times New Roman"/>
          <w:bCs/>
          <w:iCs/>
          <w:sz w:val="22"/>
          <w:szCs w:val="22"/>
          <w:lang w:eastAsia="ja-JP"/>
        </w:rPr>
        <w:t xml:space="preserve">. Company must subscribe to receive such notices by emailing </w:t>
      </w:r>
      <w:hyperlink r:id="rId8" w:history="1">
        <w:r w:rsidRPr="002E4DAA">
          <w:rPr>
            <w:rStyle w:val="Hyperlink"/>
            <w:rFonts w:eastAsia="Times New Roman"/>
            <w:sz w:val="22"/>
            <w:szCs w:val="22"/>
            <w:lang w:eastAsia="ja-JP"/>
          </w:rPr>
          <w:t>legal@fundraiseup.com</w:t>
        </w:r>
      </w:hyperlink>
      <w:r w:rsidRPr="002E4DAA">
        <w:rPr>
          <w:rFonts w:eastAsia="Times New Roman"/>
          <w:bCs/>
          <w:iCs/>
          <w:sz w:val="22"/>
          <w:szCs w:val="22"/>
          <w:lang w:eastAsia="ja-JP"/>
        </w:rPr>
        <w:t xml:space="preserve"> with “Subscribe” in the subject line and providing sufficient detail </w:t>
      </w:r>
      <w:proofErr w:type="gramStart"/>
      <w:r w:rsidRPr="002E4DAA">
        <w:rPr>
          <w:rFonts w:eastAsia="Times New Roman"/>
          <w:bCs/>
          <w:iCs/>
          <w:sz w:val="22"/>
          <w:szCs w:val="22"/>
          <w:lang w:eastAsia="ja-JP"/>
        </w:rPr>
        <w:t>so as to</w:t>
      </w:r>
      <w:proofErr w:type="gramEnd"/>
      <w:r w:rsidRPr="002E4DAA">
        <w:rPr>
          <w:rFonts w:eastAsia="Times New Roman"/>
          <w:bCs/>
          <w:iCs/>
          <w:sz w:val="22"/>
          <w:szCs w:val="22"/>
          <w:lang w:eastAsia="ja-JP"/>
        </w:rPr>
        <w:t xml:space="preserve"> identify this Agreement.</w:t>
      </w:r>
      <w:r w:rsidR="00A0256B" w:rsidRPr="00A0256B">
        <w:rPr>
          <w:rFonts w:eastAsia="Times New Roman"/>
          <w:bCs/>
          <w:iCs/>
          <w:sz w:val="22"/>
          <w:szCs w:val="22"/>
          <w:lang w:eastAsia="ja-JP"/>
        </w:rPr>
        <w:t xml:space="preserve"> If, within fifteen (15) days of receipt of such notice, Company notifies Vendor in writing of any reasonable objections to the proposed appointment, then neither Vendor nor any Vendor Affiliate shall appoint, or disclose any Company Personal Data to, such proposed </w:t>
      </w:r>
      <w:proofErr w:type="spellStart"/>
      <w:r w:rsidR="00A0256B" w:rsidRPr="00A0256B">
        <w:rPr>
          <w:rFonts w:eastAsia="Times New Roman"/>
          <w:bCs/>
          <w:iCs/>
          <w:sz w:val="22"/>
          <w:szCs w:val="22"/>
          <w:lang w:eastAsia="ja-JP"/>
        </w:rPr>
        <w:t>Subprocessor</w:t>
      </w:r>
      <w:proofErr w:type="spellEnd"/>
      <w:r w:rsidR="00A0256B" w:rsidRPr="00A0256B">
        <w:rPr>
          <w:rFonts w:eastAsia="Times New Roman"/>
          <w:bCs/>
          <w:iCs/>
          <w:sz w:val="22"/>
          <w:szCs w:val="22"/>
          <w:lang w:eastAsia="ja-JP"/>
        </w:rPr>
        <w:t xml:space="preserve">. Vendor or the applicable Vendor Affiliate may then develop and disclose to Company a written plan to address the objections raised by Company. If Company accepts such plan in writing, then Vendor or the applicable Vendor Affiliate may proceed to appoint the proposed </w:t>
      </w:r>
      <w:proofErr w:type="spellStart"/>
      <w:r w:rsidR="00A0256B" w:rsidRPr="00A0256B">
        <w:rPr>
          <w:rFonts w:eastAsia="Times New Roman"/>
          <w:bCs/>
          <w:iCs/>
          <w:sz w:val="22"/>
          <w:szCs w:val="22"/>
          <w:lang w:eastAsia="ja-JP"/>
        </w:rPr>
        <w:t>Subprocessor</w:t>
      </w:r>
      <w:proofErr w:type="spellEnd"/>
      <w:r w:rsidR="00A0256B" w:rsidRPr="00A0256B">
        <w:rPr>
          <w:rFonts w:eastAsia="Times New Roman"/>
          <w:bCs/>
          <w:iCs/>
          <w:sz w:val="22"/>
          <w:szCs w:val="22"/>
          <w:lang w:eastAsia="ja-JP"/>
        </w:rPr>
        <w:t xml:space="preserve">. If Company reasonably objects to such plan as insufficient, the parties shall work together in good faith to either adjust the </w:t>
      </w:r>
      <w:proofErr w:type="gramStart"/>
      <w:r w:rsidR="00A0256B" w:rsidRPr="00A0256B">
        <w:rPr>
          <w:rFonts w:eastAsia="Times New Roman"/>
          <w:bCs/>
          <w:iCs/>
          <w:sz w:val="22"/>
          <w:szCs w:val="22"/>
          <w:lang w:eastAsia="ja-JP"/>
        </w:rPr>
        <w:t>plan, or</w:t>
      </w:r>
      <w:proofErr w:type="gramEnd"/>
      <w:r w:rsidR="00A0256B" w:rsidRPr="00A0256B">
        <w:rPr>
          <w:rFonts w:eastAsia="Times New Roman"/>
          <w:bCs/>
          <w:iCs/>
          <w:sz w:val="22"/>
          <w:szCs w:val="22"/>
          <w:lang w:eastAsia="ja-JP"/>
        </w:rPr>
        <w:t xml:space="preserve"> effect a commercially reasonable change in the provision of the Services that avoids the use of that proposed </w:t>
      </w:r>
      <w:proofErr w:type="spellStart"/>
      <w:r w:rsidR="00A0256B" w:rsidRPr="00A0256B">
        <w:rPr>
          <w:rFonts w:eastAsia="Times New Roman"/>
          <w:bCs/>
          <w:iCs/>
          <w:sz w:val="22"/>
          <w:szCs w:val="22"/>
          <w:lang w:eastAsia="ja-JP"/>
        </w:rPr>
        <w:t>Subprocessor</w:t>
      </w:r>
      <w:proofErr w:type="spellEnd"/>
      <w:r w:rsidR="00A0256B" w:rsidRPr="00A0256B">
        <w:rPr>
          <w:rFonts w:eastAsia="Times New Roman"/>
          <w:bCs/>
          <w:iCs/>
          <w:sz w:val="22"/>
          <w:szCs w:val="22"/>
          <w:lang w:eastAsia="ja-JP"/>
        </w:rPr>
        <w:t>. If the forgoing change in the provision of the Services is not commercially reasonable as agreed by the parties, either party may terminate th</w:t>
      </w:r>
      <w:r w:rsidR="00220D45">
        <w:rPr>
          <w:rFonts w:eastAsia="Times New Roman"/>
          <w:bCs/>
          <w:iCs/>
          <w:sz w:val="22"/>
          <w:szCs w:val="22"/>
          <w:lang w:eastAsia="ja-JP"/>
        </w:rPr>
        <w:t>is</w:t>
      </w:r>
      <w:r w:rsidR="00A0256B" w:rsidRPr="00A0256B">
        <w:rPr>
          <w:rFonts w:eastAsia="Times New Roman"/>
          <w:bCs/>
          <w:iCs/>
          <w:sz w:val="22"/>
          <w:szCs w:val="22"/>
          <w:lang w:eastAsia="ja-JP"/>
        </w:rPr>
        <w:t xml:space="preserve"> Agreement upon written notice to the other party.</w:t>
      </w:r>
    </w:p>
    <w:p w14:paraId="0750E4F5" w14:textId="77777777" w:rsidR="00A0256B" w:rsidRPr="00A0256B" w:rsidRDefault="00A0256B" w:rsidP="00A0256B">
      <w:pPr>
        <w:numPr>
          <w:ilvl w:val="1"/>
          <w:numId w:val="12"/>
        </w:numPr>
        <w:spacing w:after="200"/>
        <w:outlineLvl w:val="1"/>
        <w:rPr>
          <w:rFonts w:eastAsia="Times New Roman"/>
          <w:b/>
          <w:bCs/>
          <w:iCs/>
          <w:sz w:val="22"/>
          <w:szCs w:val="20"/>
          <w:lang w:eastAsia="ja-JP"/>
        </w:rPr>
      </w:pPr>
      <w:bookmarkStart w:id="5" w:name="_Ref28258685"/>
      <w:r w:rsidRPr="00A0256B">
        <w:rPr>
          <w:rFonts w:eastAsia="Times New Roman"/>
          <w:bCs/>
          <w:iCs/>
          <w:sz w:val="22"/>
          <w:szCs w:val="22"/>
          <w:lang w:eastAsia="ja-JP"/>
        </w:rPr>
        <w:t xml:space="preserve">With respect to each </w:t>
      </w:r>
      <w:proofErr w:type="spellStart"/>
      <w:r w:rsidRPr="00A0256B">
        <w:rPr>
          <w:rFonts w:eastAsia="Times New Roman"/>
          <w:bCs/>
          <w:iCs/>
          <w:sz w:val="22"/>
          <w:szCs w:val="22"/>
          <w:lang w:eastAsia="ja-JP"/>
        </w:rPr>
        <w:t>Subprocessor</w:t>
      </w:r>
      <w:proofErr w:type="spellEnd"/>
      <w:r w:rsidRPr="00A0256B">
        <w:rPr>
          <w:rFonts w:eastAsia="Times New Roman"/>
          <w:bCs/>
          <w:iCs/>
          <w:sz w:val="22"/>
          <w:szCs w:val="22"/>
          <w:lang w:eastAsia="ja-JP"/>
        </w:rPr>
        <w:t>, the Vendor or relevant Vendor Affiliate shall:</w:t>
      </w:r>
      <w:bookmarkEnd w:id="5"/>
    </w:p>
    <w:p w14:paraId="456C38DC" w14:textId="5F03DD32"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 xml:space="preserve">ensure that the Subcontractor is bound by a written agreement that offers terms at least as </w:t>
      </w:r>
      <w:r w:rsidR="00565063">
        <w:rPr>
          <w:rFonts w:eastAsia="Times New Roman"/>
          <w:bCs/>
          <w:sz w:val="22"/>
          <w:szCs w:val="20"/>
          <w:lang w:eastAsia="ja-JP"/>
        </w:rPr>
        <w:t>restrictive</w:t>
      </w:r>
      <w:r w:rsidRPr="00A0256B">
        <w:rPr>
          <w:rFonts w:eastAsia="Times New Roman"/>
          <w:bCs/>
          <w:sz w:val="22"/>
          <w:szCs w:val="20"/>
          <w:lang w:eastAsia="ja-JP"/>
        </w:rPr>
        <w:t xml:space="preserve"> as those set out in this Agreement, and meets the requirements of Article 28(3) of the GDPR (“</w:t>
      </w:r>
      <w:proofErr w:type="spellStart"/>
      <w:r w:rsidRPr="00DF3D16">
        <w:rPr>
          <w:rFonts w:eastAsia="Times New Roman"/>
          <w:bCs/>
          <w:sz w:val="22"/>
          <w:szCs w:val="20"/>
          <w:u w:val="single"/>
          <w:lang w:eastAsia="ja-JP"/>
        </w:rPr>
        <w:t>Subprocessor</w:t>
      </w:r>
      <w:proofErr w:type="spellEnd"/>
      <w:r w:rsidRPr="00DF3D16">
        <w:rPr>
          <w:rFonts w:eastAsia="Times New Roman"/>
          <w:bCs/>
          <w:sz w:val="22"/>
          <w:szCs w:val="20"/>
          <w:u w:val="single"/>
          <w:lang w:eastAsia="ja-JP"/>
        </w:rPr>
        <w:t xml:space="preserve"> Agreement</w:t>
      </w:r>
      <w:r w:rsidRPr="00A0256B">
        <w:rPr>
          <w:rFonts w:eastAsia="Times New Roman"/>
          <w:bCs/>
          <w:sz w:val="22"/>
          <w:szCs w:val="20"/>
          <w:lang w:eastAsia="ja-JP"/>
        </w:rPr>
        <w:t>”</w:t>
      </w:r>
      <w:proofErr w:type="gramStart"/>
      <w:r w:rsidRPr="00A0256B">
        <w:rPr>
          <w:rFonts w:eastAsia="Times New Roman"/>
          <w:bCs/>
          <w:sz w:val="22"/>
          <w:szCs w:val="20"/>
          <w:lang w:eastAsia="ja-JP"/>
        </w:rPr>
        <w:t>);</w:t>
      </w:r>
      <w:proofErr w:type="gramEnd"/>
      <w:r w:rsidRPr="00A0256B">
        <w:rPr>
          <w:rFonts w:eastAsia="Times New Roman"/>
          <w:bCs/>
          <w:sz w:val="22"/>
          <w:szCs w:val="20"/>
          <w:lang w:eastAsia="ja-JP"/>
        </w:rPr>
        <w:t xml:space="preserve"> </w:t>
      </w:r>
    </w:p>
    <w:p w14:paraId="63CE300E" w14:textId="77777777" w:rsidR="00A0256B" w:rsidRPr="00A0256B" w:rsidRDefault="00A0256B" w:rsidP="00A0256B">
      <w:pPr>
        <w:numPr>
          <w:ilvl w:val="2"/>
          <w:numId w:val="12"/>
        </w:numPr>
        <w:spacing w:after="200"/>
        <w:outlineLvl w:val="2"/>
        <w:rPr>
          <w:rFonts w:eastAsia="Times New Roman"/>
          <w:b/>
          <w:bCs/>
          <w:sz w:val="22"/>
          <w:szCs w:val="20"/>
          <w:lang w:eastAsia="ja-JP"/>
        </w:rPr>
      </w:pPr>
      <w:bookmarkStart w:id="6" w:name="_Ref28259077"/>
      <w:r w:rsidRPr="00A0256B">
        <w:rPr>
          <w:rFonts w:eastAsia="Times New Roman"/>
          <w:bCs/>
          <w:sz w:val="22"/>
          <w:szCs w:val="20"/>
          <w:lang w:eastAsia="ja-JP"/>
        </w:rPr>
        <w:lastRenderedPageBreak/>
        <w:t xml:space="preserve">ensure that an Appropriate Safeguard is in place with any </w:t>
      </w:r>
      <w:proofErr w:type="spellStart"/>
      <w:r w:rsidRPr="00A0256B">
        <w:rPr>
          <w:rFonts w:eastAsia="Times New Roman"/>
          <w:bCs/>
          <w:sz w:val="22"/>
          <w:szCs w:val="20"/>
          <w:lang w:eastAsia="ja-JP"/>
        </w:rPr>
        <w:t>Subprocessor</w:t>
      </w:r>
      <w:proofErr w:type="spellEnd"/>
      <w:r w:rsidRPr="00A0256B">
        <w:rPr>
          <w:rFonts w:eastAsia="Times New Roman"/>
          <w:bCs/>
          <w:sz w:val="22"/>
          <w:szCs w:val="20"/>
          <w:lang w:eastAsia="ja-JP"/>
        </w:rPr>
        <w:t xml:space="preserve"> prior to any contemplated Restricted Transfers; or ensure that </w:t>
      </w:r>
      <w:proofErr w:type="spellStart"/>
      <w:r w:rsidRPr="00A0256B">
        <w:rPr>
          <w:rFonts w:eastAsia="Times New Roman"/>
          <w:bCs/>
          <w:sz w:val="22"/>
          <w:szCs w:val="20"/>
          <w:lang w:eastAsia="ja-JP"/>
        </w:rPr>
        <w:t>Subprocessor</w:t>
      </w:r>
      <w:proofErr w:type="spellEnd"/>
      <w:r w:rsidRPr="00A0256B">
        <w:rPr>
          <w:rFonts w:eastAsia="Times New Roman"/>
          <w:bCs/>
          <w:sz w:val="22"/>
          <w:szCs w:val="20"/>
          <w:lang w:eastAsia="ja-JP"/>
        </w:rPr>
        <w:t xml:space="preserve"> enters into an agreement with the relevant Company Group Member(s) incorporating the Standard Contractual Clauses (and Company shall ensure that each relevant Company Affiliate executes such Standard Contractual Clauses) before the </w:t>
      </w:r>
      <w:proofErr w:type="spellStart"/>
      <w:r w:rsidRPr="00A0256B">
        <w:rPr>
          <w:rFonts w:eastAsia="Times New Roman"/>
          <w:bCs/>
          <w:sz w:val="22"/>
          <w:szCs w:val="20"/>
          <w:lang w:eastAsia="ja-JP"/>
        </w:rPr>
        <w:t>Subprocessor</w:t>
      </w:r>
      <w:proofErr w:type="spellEnd"/>
      <w:r w:rsidRPr="00A0256B">
        <w:rPr>
          <w:rFonts w:eastAsia="Times New Roman"/>
          <w:bCs/>
          <w:sz w:val="22"/>
          <w:szCs w:val="20"/>
          <w:lang w:eastAsia="ja-JP"/>
        </w:rPr>
        <w:t xml:space="preserve"> may Process Company Personal Data; and</w:t>
      </w:r>
      <w:bookmarkEnd w:id="6"/>
    </w:p>
    <w:p w14:paraId="781664A5" w14:textId="5195084A" w:rsidR="00A0256B" w:rsidRPr="00A0256B" w:rsidRDefault="00A0256B" w:rsidP="00A0256B">
      <w:pPr>
        <w:numPr>
          <w:ilvl w:val="2"/>
          <w:numId w:val="12"/>
        </w:numPr>
        <w:spacing w:after="200"/>
        <w:outlineLvl w:val="2"/>
        <w:rPr>
          <w:rFonts w:eastAsia="Times New Roman"/>
          <w:bCs/>
          <w:sz w:val="22"/>
          <w:szCs w:val="20"/>
          <w:lang w:eastAsia="ja-JP"/>
        </w:rPr>
      </w:pPr>
      <w:r w:rsidRPr="00A0256B">
        <w:rPr>
          <w:rFonts w:eastAsia="Times New Roman"/>
          <w:bCs/>
          <w:sz w:val="22"/>
          <w:szCs w:val="20"/>
          <w:lang w:eastAsia="ja-JP"/>
        </w:rPr>
        <w:t xml:space="preserve">provide copies of the </w:t>
      </w:r>
      <w:proofErr w:type="spellStart"/>
      <w:r w:rsidRPr="00A0256B">
        <w:rPr>
          <w:rFonts w:eastAsia="Times New Roman"/>
          <w:bCs/>
          <w:sz w:val="22"/>
          <w:szCs w:val="20"/>
          <w:lang w:eastAsia="ja-JP"/>
        </w:rPr>
        <w:t>Subprocessor</w:t>
      </w:r>
      <w:proofErr w:type="spellEnd"/>
      <w:r w:rsidRPr="00A0256B">
        <w:rPr>
          <w:rFonts w:eastAsia="Times New Roman"/>
          <w:bCs/>
          <w:sz w:val="22"/>
          <w:szCs w:val="20"/>
          <w:lang w:eastAsia="ja-JP"/>
        </w:rPr>
        <w:t xml:space="preserve"> Agreement to Company for review (which copies may be redacted to remove confidential information not relevant to the requirements of this </w:t>
      </w:r>
      <w:r w:rsidR="00B6084D">
        <w:rPr>
          <w:rFonts w:eastAsia="Times New Roman"/>
          <w:bCs/>
          <w:sz w:val="22"/>
          <w:szCs w:val="20"/>
          <w:lang w:eastAsia="ja-JP"/>
        </w:rPr>
        <w:t>Agreement</w:t>
      </w:r>
      <w:r w:rsidRPr="00A0256B">
        <w:rPr>
          <w:rFonts w:eastAsia="Times New Roman"/>
          <w:bCs/>
          <w:sz w:val="22"/>
          <w:szCs w:val="20"/>
          <w:lang w:eastAsia="ja-JP"/>
        </w:rPr>
        <w:t>) as Company may request from time to time.</w:t>
      </w:r>
    </w:p>
    <w:p w14:paraId="0E200CCC" w14:textId="0C5D8EC8"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 xml:space="preserve">Vendor shall </w:t>
      </w:r>
      <w:r w:rsidR="00257F27">
        <w:rPr>
          <w:rFonts w:eastAsia="Times New Roman"/>
          <w:bCs/>
          <w:iCs/>
          <w:sz w:val="22"/>
          <w:szCs w:val="22"/>
          <w:lang w:eastAsia="ja-JP"/>
        </w:rPr>
        <w:t>remain</w:t>
      </w:r>
      <w:r w:rsidRPr="00A0256B">
        <w:rPr>
          <w:rFonts w:eastAsia="Times New Roman"/>
          <w:bCs/>
          <w:iCs/>
          <w:sz w:val="22"/>
          <w:szCs w:val="22"/>
          <w:lang w:eastAsia="ja-JP"/>
        </w:rPr>
        <w:t xml:space="preserve"> </w:t>
      </w:r>
      <w:r w:rsidR="00364AD3">
        <w:rPr>
          <w:rFonts w:eastAsia="Times New Roman"/>
          <w:bCs/>
          <w:iCs/>
          <w:sz w:val="22"/>
          <w:szCs w:val="22"/>
          <w:lang w:eastAsia="ja-JP"/>
        </w:rPr>
        <w:t xml:space="preserve">responsible for its compliance with the obligations of this </w:t>
      </w:r>
      <w:r w:rsidR="00B6084D">
        <w:rPr>
          <w:rFonts w:eastAsia="Times New Roman"/>
          <w:bCs/>
          <w:iCs/>
          <w:sz w:val="22"/>
          <w:szCs w:val="22"/>
          <w:lang w:eastAsia="ja-JP"/>
        </w:rPr>
        <w:t>Agreement</w:t>
      </w:r>
      <w:r w:rsidR="00364AD3">
        <w:rPr>
          <w:rFonts w:eastAsia="Times New Roman"/>
          <w:bCs/>
          <w:iCs/>
          <w:sz w:val="22"/>
          <w:szCs w:val="22"/>
          <w:lang w:eastAsia="ja-JP"/>
        </w:rPr>
        <w:t xml:space="preserve"> and for any acts or omissions of its </w:t>
      </w:r>
      <w:proofErr w:type="spellStart"/>
      <w:r w:rsidR="00364AD3">
        <w:rPr>
          <w:rFonts w:eastAsia="Times New Roman"/>
          <w:bCs/>
          <w:iCs/>
          <w:sz w:val="22"/>
          <w:szCs w:val="22"/>
          <w:lang w:eastAsia="ja-JP"/>
        </w:rPr>
        <w:t>Subprocessors</w:t>
      </w:r>
      <w:proofErr w:type="spellEnd"/>
      <w:r w:rsidR="00364AD3">
        <w:rPr>
          <w:rFonts w:eastAsia="Times New Roman"/>
          <w:bCs/>
          <w:iCs/>
          <w:sz w:val="22"/>
          <w:szCs w:val="22"/>
          <w:lang w:eastAsia="ja-JP"/>
        </w:rPr>
        <w:t xml:space="preserve"> that cause Vendor to breach any of </w:t>
      </w:r>
      <w:r w:rsidR="00E56500">
        <w:rPr>
          <w:rFonts w:eastAsia="Times New Roman"/>
          <w:bCs/>
          <w:iCs/>
          <w:sz w:val="22"/>
          <w:szCs w:val="22"/>
          <w:lang w:eastAsia="ja-JP"/>
        </w:rPr>
        <w:t>its</w:t>
      </w:r>
      <w:r w:rsidR="00364AD3">
        <w:rPr>
          <w:rFonts w:eastAsia="Times New Roman"/>
          <w:bCs/>
          <w:iCs/>
          <w:sz w:val="22"/>
          <w:szCs w:val="22"/>
          <w:lang w:eastAsia="ja-JP"/>
        </w:rPr>
        <w:t xml:space="preserve"> obligations under this </w:t>
      </w:r>
      <w:r w:rsidR="00B6084D">
        <w:rPr>
          <w:rFonts w:eastAsia="Times New Roman"/>
          <w:bCs/>
          <w:iCs/>
          <w:sz w:val="22"/>
          <w:szCs w:val="22"/>
          <w:lang w:eastAsia="ja-JP"/>
        </w:rPr>
        <w:t>Agreement</w:t>
      </w:r>
      <w:r w:rsidRPr="00A0256B">
        <w:rPr>
          <w:rFonts w:eastAsia="Times New Roman"/>
          <w:bCs/>
          <w:iCs/>
          <w:sz w:val="22"/>
          <w:szCs w:val="22"/>
          <w:lang w:eastAsia="ja-JP"/>
        </w:rPr>
        <w:t>.</w:t>
      </w:r>
    </w:p>
    <w:p w14:paraId="7E97B583"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Data Subject Rights.</w:t>
      </w:r>
    </w:p>
    <w:p w14:paraId="1D1B66C4" w14:textId="77777777" w:rsidR="00A0256B" w:rsidRPr="00A0256B" w:rsidRDefault="00A0256B" w:rsidP="00A0256B">
      <w:pPr>
        <w:numPr>
          <w:ilvl w:val="1"/>
          <w:numId w:val="12"/>
        </w:numPr>
        <w:spacing w:after="200"/>
        <w:outlineLvl w:val="1"/>
        <w:rPr>
          <w:rFonts w:eastAsia="Times New Roman"/>
          <w:bCs/>
          <w:iCs/>
          <w:sz w:val="22"/>
          <w:szCs w:val="22"/>
          <w:lang w:eastAsia="ja-JP"/>
        </w:rPr>
      </w:pPr>
      <w:proofErr w:type="gramStart"/>
      <w:r w:rsidRPr="00A0256B">
        <w:rPr>
          <w:rFonts w:eastAsia="Times New Roman"/>
          <w:bCs/>
          <w:iCs/>
          <w:sz w:val="22"/>
          <w:szCs w:val="22"/>
          <w:lang w:eastAsia="ja-JP"/>
        </w:rPr>
        <w:t>Taking into account</w:t>
      </w:r>
      <w:proofErr w:type="gramEnd"/>
      <w:r w:rsidRPr="00A0256B">
        <w:rPr>
          <w:rFonts w:eastAsia="Times New Roman"/>
          <w:bCs/>
          <w:iCs/>
          <w:sz w:val="22"/>
          <w:szCs w:val="22"/>
          <w:lang w:eastAsia="ja-JP"/>
        </w:rPr>
        <w:t xml:space="preserve"> the nature of the Processing, each Contracted Vendor shall reasonably support each Company Group Member in implementing appropriate, and commercially reasonable, technical and organizational measures for the purpose of fulfilling Company Group Members' obligations to respond to requests to exercise Data Subject rights under the Applicable Laws.</w:t>
      </w:r>
    </w:p>
    <w:p w14:paraId="3F423090" w14:textId="77777777"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Vendor shall:</w:t>
      </w:r>
    </w:p>
    <w:p w14:paraId="694DE977"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promptly notify Company if any Contracted Vendor receives a request from a Data Subject under any Applicable Laws with respect to Company Personal Data; and</w:t>
      </w:r>
    </w:p>
    <w:p w14:paraId="6D025C4F" w14:textId="77777777" w:rsidR="00A0256B" w:rsidRPr="00A0256B" w:rsidRDefault="00A0256B" w:rsidP="00A0256B">
      <w:pPr>
        <w:numPr>
          <w:ilvl w:val="2"/>
          <w:numId w:val="12"/>
        </w:numPr>
        <w:spacing w:after="200"/>
        <w:outlineLvl w:val="2"/>
        <w:rPr>
          <w:rFonts w:eastAsia="Times New Roman"/>
          <w:bCs/>
          <w:sz w:val="22"/>
          <w:szCs w:val="20"/>
          <w:lang w:eastAsia="ja-JP"/>
        </w:rPr>
      </w:pPr>
      <w:r w:rsidRPr="00A0256B">
        <w:rPr>
          <w:rFonts w:eastAsia="Times New Roman"/>
          <w:bCs/>
          <w:sz w:val="22"/>
          <w:szCs w:val="20"/>
          <w:lang w:eastAsia="ja-JP"/>
        </w:rPr>
        <w:t xml:space="preserve">ensure that the Contracted Vendor does not respond to that request </w:t>
      </w:r>
      <w:proofErr w:type="gramStart"/>
      <w:r w:rsidRPr="00A0256B">
        <w:rPr>
          <w:rFonts w:eastAsia="Times New Roman"/>
          <w:bCs/>
          <w:sz w:val="22"/>
          <w:szCs w:val="20"/>
          <w:lang w:eastAsia="ja-JP"/>
        </w:rPr>
        <w:t>except:</w:t>
      </w:r>
      <w:proofErr w:type="gramEnd"/>
      <w:r w:rsidRPr="00A0256B">
        <w:rPr>
          <w:rFonts w:eastAsia="Times New Roman"/>
          <w:bCs/>
          <w:sz w:val="22"/>
          <w:szCs w:val="20"/>
          <w:lang w:eastAsia="ja-JP"/>
        </w:rPr>
        <w:t xml:space="preserve"> </w:t>
      </w:r>
      <w:proofErr w:type="spellStart"/>
      <w:r w:rsidRPr="00A0256B">
        <w:rPr>
          <w:rFonts w:eastAsia="Times New Roman"/>
          <w:bCs/>
          <w:sz w:val="22"/>
          <w:szCs w:val="20"/>
          <w:lang w:eastAsia="ja-JP"/>
        </w:rPr>
        <w:t>i</w:t>
      </w:r>
      <w:proofErr w:type="spellEnd"/>
      <w:r w:rsidRPr="00A0256B">
        <w:rPr>
          <w:rFonts w:eastAsia="Times New Roman"/>
          <w:bCs/>
          <w:sz w:val="22"/>
          <w:szCs w:val="20"/>
          <w:lang w:eastAsia="ja-JP"/>
        </w:rPr>
        <w:t>) as agreed by the Vendor and the Company; or ii) as required by Applicable Laws to which the Contracted Vendor is subject, in which case Vendor shall (to the extent permitted by Applicable Laws) inform Company of that legal requirement before the Contracted Vendor responds to the request.</w:t>
      </w:r>
    </w:p>
    <w:p w14:paraId="0E9C39FD"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Personal Data Breach.</w:t>
      </w:r>
    </w:p>
    <w:p w14:paraId="1A6958FB" w14:textId="20565A16" w:rsidR="00A0256B" w:rsidRPr="00A0256B" w:rsidRDefault="00A0256B" w:rsidP="00A0256B">
      <w:pPr>
        <w:spacing w:after="200"/>
        <w:ind w:firstLine="720"/>
        <w:outlineLvl w:val="1"/>
        <w:rPr>
          <w:rFonts w:eastAsia="Times New Roman"/>
          <w:bCs/>
          <w:iCs/>
          <w:sz w:val="22"/>
          <w:szCs w:val="22"/>
          <w:lang w:eastAsia="ja-JP"/>
        </w:rPr>
      </w:pPr>
      <w:r w:rsidRPr="00A0256B">
        <w:rPr>
          <w:rFonts w:eastAsia="Times New Roman"/>
          <w:bCs/>
          <w:iCs/>
          <w:sz w:val="22"/>
          <w:szCs w:val="22"/>
          <w:lang w:eastAsia="ja-JP"/>
        </w:rPr>
        <w:t>Vendor shall, without undue delay, notify Company upon becoming aware that any Contracted Vendor experienced Personal Data Breach affecting Company Personal Data, and provide Company with a primary point of contact at the Contracted Vendor and sufficient information to allow each Company Group Member to meet any obligations to report or inform the applicable Data Subjects and/or Supervisory Authorities of the Personal Data Breach under the</w:t>
      </w:r>
      <w:r w:rsidR="00C64153">
        <w:rPr>
          <w:rFonts w:eastAsia="Times New Roman"/>
          <w:bCs/>
          <w:iCs/>
          <w:sz w:val="22"/>
          <w:szCs w:val="22"/>
          <w:lang w:eastAsia="ja-JP"/>
        </w:rPr>
        <w:t xml:space="preserve"> Applicable Laws.</w:t>
      </w:r>
      <w:r w:rsidRPr="00A0256B">
        <w:rPr>
          <w:rFonts w:eastAsia="Times New Roman"/>
          <w:bCs/>
          <w:iCs/>
          <w:sz w:val="22"/>
          <w:szCs w:val="22"/>
          <w:lang w:eastAsia="ja-JP"/>
        </w:rPr>
        <w:t xml:space="preserve"> Such information may be provided in phases if it is impossible or impractical to provide simultaneously.</w:t>
      </w:r>
    </w:p>
    <w:p w14:paraId="56876641"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Data Protection Impact Assessment and Prior Consultation.</w:t>
      </w:r>
    </w:p>
    <w:p w14:paraId="236AB9FC" w14:textId="707CB6BD" w:rsidR="00A0256B" w:rsidRPr="00A0256B" w:rsidRDefault="00A0256B" w:rsidP="00A0256B">
      <w:pPr>
        <w:spacing w:after="200"/>
        <w:ind w:firstLine="720"/>
        <w:rPr>
          <w:rFonts w:eastAsia="Times New Roman"/>
          <w:sz w:val="22"/>
          <w:szCs w:val="22"/>
          <w:lang w:eastAsia="ja-JP"/>
        </w:rPr>
      </w:pPr>
      <w:r w:rsidRPr="00A0256B">
        <w:rPr>
          <w:rFonts w:eastAsia="Times New Roman"/>
          <w:sz w:val="22"/>
          <w:szCs w:val="22"/>
          <w:lang w:eastAsia="ja-JP"/>
        </w:rPr>
        <w:t>Each applicable Contracted Vendor shall provide reasonable assistance to each Company Group Member in performing any data protection impact assessments and/or relevant consultations with Supervisory Authorities or other competent data privacy authorities, which Company reasonably considers to be required of any Company Group Member by GDPR Articles 35 or 36, or equivalent provisions of any other Applicable Laws, in each case solely in relation to Processing of Company Personal Data by, and taking into account the nature of the Processing and information available to, the Contracted Vendor.  Any</w:t>
      </w:r>
      <w:r w:rsidR="00D83D79">
        <w:rPr>
          <w:rFonts w:eastAsia="Times New Roman"/>
          <w:sz w:val="22"/>
          <w:szCs w:val="22"/>
          <w:lang w:eastAsia="ja-JP"/>
        </w:rPr>
        <w:t xml:space="preserve"> such</w:t>
      </w:r>
      <w:r w:rsidRPr="00A0256B">
        <w:rPr>
          <w:rFonts w:eastAsia="Times New Roman"/>
          <w:sz w:val="22"/>
          <w:szCs w:val="22"/>
          <w:lang w:eastAsia="ja-JP"/>
        </w:rPr>
        <w:t xml:space="preserve"> assistance </w:t>
      </w:r>
      <w:r w:rsidR="00D83D79">
        <w:rPr>
          <w:rFonts w:eastAsia="Times New Roman"/>
          <w:sz w:val="22"/>
          <w:szCs w:val="22"/>
          <w:lang w:eastAsia="ja-JP"/>
        </w:rPr>
        <w:t>provided</w:t>
      </w:r>
      <w:r w:rsidRPr="00A0256B">
        <w:rPr>
          <w:rFonts w:eastAsia="Times New Roman"/>
          <w:sz w:val="22"/>
          <w:szCs w:val="22"/>
          <w:lang w:eastAsia="ja-JP"/>
        </w:rPr>
        <w:t xml:space="preserve"> by</w:t>
      </w:r>
      <w:r w:rsidR="00D83D79">
        <w:rPr>
          <w:rFonts w:eastAsia="Times New Roman"/>
          <w:sz w:val="22"/>
          <w:szCs w:val="22"/>
          <w:lang w:eastAsia="ja-JP"/>
        </w:rPr>
        <w:t xml:space="preserve"> a Contracted Vendor to</w:t>
      </w:r>
      <w:r w:rsidRPr="00A0256B">
        <w:rPr>
          <w:rFonts w:eastAsia="Times New Roman"/>
          <w:sz w:val="22"/>
          <w:szCs w:val="22"/>
          <w:lang w:eastAsia="ja-JP"/>
        </w:rPr>
        <w:t xml:space="preserve"> a Company Group Member shall be at Company’s sole cost and expense.</w:t>
      </w:r>
    </w:p>
    <w:p w14:paraId="506DC160" w14:textId="77777777" w:rsidR="00A0256B" w:rsidRPr="00A0256B" w:rsidRDefault="00A0256B" w:rsidP="003961DD">
      <w:pPr>
        <w:keepNext/>
        <w:numPr>
          <w:ilvl w:val="0"/>
          <w:numId w:val="12"/>
        </w:numPr>
        <w:spacing w:after="200"/>
        <w:outlineLvl w:val="0"/>
        <w:rPr>
          <w:rFonts w:eastAsia="Times New Roman"/>
          <w:bCs/>
          <w:sz w:val="22"/>
          <w:szCs w:val="22"/>
          <w:lang w:eastAsia="ja-JP"/>
        </w:rPr>
      </w:pPr>
      <w:bookmarkStart w:id="7" w:name="_Ref28258758"/>
      <w:r w:rsidRPr="00A0256B">
        <w:rPr>
          <w:rFonts w:eastAsia="Times New Roman"/>
          <w:bCs/>
          <w:sz w:val="22"/>
          <w:szCs w:val="22"/>
          <w:lang w:eastAsia="ja-JP"/>
        </w:rPr>
        <w:lastRenderedPageBreak/>
        <w:t>Deletion or Return of Company Personal Data.</w:t>
      </w:r>
      <w:bookmarkEnd w:id="7"/>
    </w:p>
    <w:p w14:paraId="1DA06EFF" w14:textId="779F1CD7" w:rsidR="00A0256B" w:rsidRPr="00A0256B" w:rsidRDefault="00A0256B" w:rsidP="00A0256B">
      <w:pPr>
        <w:numPr>
          <w:ilvl w:val="1"/>
          <w:numId w:val="12"/>
        </w:numPr>
        <w:spacing w:after="200"/>
        <w:outlineLvl w:val="1"/>
        <w:rPr>
          <w:rFonts w:eastAsia="Times New Roman"/>
          <w:bCs/>
          <w:iCs/>
          <w:sz w:val="22"/>
          <w:szCs w:val="22"/>
          <w:lang w:eastAsia="ja-JP"/>
        </w:rPr>
      </w:pPr>
      <w:bookmarkStart w:id="8" w:name="_Ref53426517"/>
      <w:r w:rsidRPr="00A0256B">
        <w:rPr>
          <w:rFonts w:eastAsia="Times New Roman"/>
          <w:bCs/>
          <w:iCs/>
          <w:sz w:val="22"/>
          <w:szCs w:val="22"/>
          <w:lang w:eastAsia="ja-JP"/>
        </w:rPr>
        <w:t xml:space="preserve">Subject to Sections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_Ref28258708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10.2</w:t>
      </w:r>
      <w:r w:rsidRPr="00A0256B">
        <w:rPr>
          <w:rFonts w:eastAsia="Times New Roman"/>
          <w:bCs/>
          <w:iCs/>
          <w:sz w:val="22"/>
          <w:szCs w:val="22"/>
          <w:lang w:eastAsia="ja-JP"/>
        </w:rPr>
        <w:fldChar w:fldCharType="end"/>
      </w:r>
      <w:r w:rsidRPr="00A0256B">
        <w:rPr>
          <w:rFonts w:eastAsia="Times New Roman"/>
          <w:bCs/>
          <w:iCs/>
          <w:sz w:val="22"/>
          <w:szCs w:val="22"/>
          <w:lang w:eastAsia="ja-JP"/>
        </w:rPr>
        <w:t xml:space="preserve"> and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_Ref28258738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10.3</w:t>
      </w:r>
      <w:r w:rsidRPr="00A0256B">
        <w:rPr>
          <w:rFonts w:eastAsia="Times New Roman"/>
          <w:bCs/>
          <w:iCs/>
          <w:sz w:val="22"/>
          <w:szCs w:val="22"/>
          <w:lang w:eastAsia="ja-JP"/>
        </w:rPr>
        <w:fldChar w:fldCharType="end"/>
      </w:r>
      <w:r w:rsidRPr="00A0256B">
        <w:rPr>
          <w:rFonts w:eastAsia="Times New Roman"/>
          <w:bCs/>
          <w:iCs/>
          <w:sz w:val="22"/>
          <w:szCs w:val="22"/>
          <w:lang w:eastAsia="ja-JP"/>
        </w:rPr>
        <w:t>, each applicable Contracted Vendor shall within thirty (30) days after the date of cessation of Services involving the Processing of Company Personal Data (the “</w:t>
      </w:r>
      <w:r w:rsidRPr="00A0256B">
        <w:rPr>
          <w:rFonts w:eastAsia="Times New Roman"/>
          <w:bCs/>
          <w:iCs/>
          <w:sz w:val="22"/>
          <w:szCs w:val="22"/>
          <w:u w:val="single"/>
          <w:lang w:eastAsia="ja-JP"/>
        </w:rPr>
        <w:t>Cessation Date</w:t>
      </w:r>
      <w:r w:rsidRPr="00A0256B">
        <w:rPr>
          <w:rFonts w:eastAsia="Times New Roman"/>
          <w:bCs/>
          <w:iCs/>
          <w:sz w:val="22"/>
          <w:szCs w:val="22"/>
          <w:lang w:eastAsia="ja-JP"/>
        </w:rPr>
        <w:t>”), delete and ensure the deletion of all copies of those Company Personal Data.</w:t>
      </w:r>
      <w:bookmarkEnd w:id="8"/>
    </w:p>
    <w:p w14:paraId="2ECEEE6D" w14:textId="5651475B" w:rsidR="00A0256B" w:rsidRPr="00A0256B" w:rsidRDefault="00A0256B" w:rsidP="00A0256B">
      <w:pPr>
        <w:numPr>
          <w:ilvl w:val="1"/>
          <w:numId w:val="12"/>
        </w:numPr>
        <w:spacing w:after="200"/>
        <w:outlineLvl w:val="1"/>
        <w:rPr>
          <w:rFonts w:eastAsia="Times New Roman"/>
          <w:bCs/>
          <w:iCs/>
          <w:sz w:val="22"/>
          <w:szCs w:val="22"/>
          <w:lang w:eastAsia="ja-JP"/>
        </w:rPr>
      </w:pPr>
      <w:bookmarkStart w:id="9" w:name="_Ref28258708"/>
      <w:r w:rsidRPr="00A0256B">
        <w:rPr>
          <w:rFonts w:eastAsia="Times New Roman"/>
          <w:bCs/>
          <w:iCs/>
          <w:sz w:val="22"/>
          <w:szCs w:val="22"/>
          <w:lang w:eastAsia="ja-JP"/>
        </w:rPr>
        <w:t xml:space="preserve">Subject to Section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_Ref28258738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10.3</w:t>
      </w:r>
      <w:r w:rsidRPr="00A0256B">
        <w:rPr>
          <w:rFonts w:eastAsia="Times New Roman"/>
          <w:bCs/>
          <w:iCs/>
          <w:sz w:val="22"/>
          <w:szCs w:val="22"/>
          <w:lang w:eastAsia="ja-JP"/>
        </w:rPr>
        <w:fldChar w:fldCharType="end"/>
      </w:r>
      <w:r w:rsidRPr="00A0256B">
        <w:rPr>
          <w:rFonts w:eastAsia="Times New Roman"/>
          <w:bCs/>
          <w:iCs/>
          <w:sz w:val="22"/>
          <w:szCs w:val="22"/>
          <w:lang w:eastAsia="ja-JP"/>
        </w:rPr>
        <w:t>, Company may by written notice to Vendor within thirty (30) days of said notice require each applicable Contracted Vendor to (a) return a complete copy of all Company Personal Data in such Contracted Vendor’s possession, or under its control, to Company by secure file transfer in any common digital format; and (b) delete and ensure the deletion of all copies of Company Personal Data Processed by any Contracted Vendor in such Contracted Vendor’s possession, or under its control.</w:t>
      </w:r>
      <w:bookmarkEnd w:id="9"/>
      <w:r w:rsidRPr="00A0256B">
        <w:rPr>
          <w:rFonts w:eastAsia="Times New Roman"/>
          <w:bCs/>
          <w:iCs/>
          <w:sz w:val="22"/>
          <w:szCs w:val="22"/>
          <w:lang w:eastAsia="ja-JP"/>
        </w:rPr>
        <w:t xml:space="preserve"> </w:t>
      </w:r>
    </w:p>
    <w:p w14:paraId="539D9181" w14:textId="2E00AA71" w:rsidR="00A0256B" w:rsidRPr="00A0256B" w:rsidRDefault="00A0256B" w:rsidP="00A0256B">
      <w:pPr>
        <w:numPr>
          <w:ilvl w:val="1"/>
          <w:numId w:val="12"/>
        </w:numPr>
        <w:spacing w:after="200"/>
        <w:outlineLvl w:val="1"/>
        <w:rPr>
          <w:rFonts w:eastAsia="Times New Roman"/>
          <w:bCs/>
          <w:iCs/>
          <w:sz w:val="22"/>
          <w:szCs w:val="22"/>
          <w:lang w:eastAsia="ja-JP"/>
        </w:rPr>
      </w:pPr>
      <w:bookmarkStart w:id="10" w:name="_Ref28258738"/>
      <w:r w:rsidRPr="00A0256B">
        <w:rPr>
          <w:rFonts w:eastAsia="Times New Roman"/>
          <w:bCs/>
          <w:iCs/>
          <w:sz w:val="22"/>
          <w:szCs w:val="22"/>
          <w:lang w:eastAsia="ja-JP"/>
        </w:rPr>
        <w:t xml:space="preserve">Notwithstanding anything to the contrary in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_Ref53426517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10.1</w:t>
      </w:r>
      <w:r w:rsidRPr="00A0256B">
        <w:rPr>
          <w:rFonts w:eastAsia="Times New Roman"/>
          <w:bCs/>
          <w:iCs/>
          <w:sz w:val="22"/>
          <w:szCs w:val="22"/>
          <w:lang w:eastAsia="ja-JP"/>
        </w:rPr>
        <w:fldChar w:fldCharType="end"/>
      </w:r>
      <w:r w:rsidRPr="00A0256B">
        <w:rPr>
          <w:rFonts w:eastAsia="Times New Roman"/>
          <w:bCs/>
          <w:iCs/>
          <w:sz w:val="22"/>
          <w:szCs w:val="22"/>
          <w:lang w:eastAsia="ja-JP"/>
        </w:rPr>
        <w:t xml:space="preserve"> and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_Ref28258708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10.2</w:t>
      </w:r>
      <w:r w:rsidRPr="00A0256B">
        <w:rPr>
          <w:rFonts w:eastAsia="Times New Roman"/>
          <w:bCs/>
          <w:iCs/>
          <w:sz w:val="22"/>
          <w:szCs w:val="22"/>
          <w:lang w:eastAsia="ja-JP"/>
        </w:rPr>
        <w:fldChar w:fldCharType="end"/>
      </w:r>
      <w:r w:rsidRPr="00A0256B">
        <w:rPr>
          <w:rFonts w:eastAsia="Times New Roman"/>
          <w:bCs/>
          <w:iCs/>
          <w:sz w:val="22"/>
          <w:szCs w:val="22"/>
          <w:lang w:eastAsia="ja-JP"/>
        </w:rPr>
        <w:t>, each Contracted Vendor may retain Company Personal Data to the extent and for such period as is required by Applicable Laws, provided that such Contracted Vendor shall ensure the confidentiality of all such retained Company Personal Data, and shall ensure that the Company Personal Data are only retained only for the purpose(s) specified in the Applicable Laws requiring its retention.</w:t>
      </w:r>
      <w:bookmarkEnd w:id="10"/>
      <w:r w:rsidRPr="00A0256B">
        <w:rPr>
          <w:rFonts w:eastAsia="Times New Roman"/>
          <w:bCs/>
          <w:iCs/>
          <w:sz w:val="22"/>
          <w:szCs w:val="22"/>
          <w:lang w:eastAsia="ja-JP"/>
        </w:rPr>
        <w:t xml:space="preserve"> For the avoidance of doubt, the terms and conditions of this </w:t>
      </w:r>
      <w:r w:rsidR="00B6084D">
        <w:rPr>
          <w:rFonts w:eastAsia="Times New Roman"/>
          <w:bCs/>
          <w:iCs/>
          <w:sz w:val="22"/>
          <w:szCs w:val="22"/>
          <w:lang w:eastAsia="ja-JP"/>
        </w:rPr>
        <w:t>Agreement</w:t>
      </w:r>
      <w:r w:rsidRPr="00A0256B">
        <w:rPr>
          <w:rFonts w:eastAsia="Times New Roman"/>
          <w:bCs/>
          <w:iCs/>
          <w:sz w:val="22"/>
          <w:szCs w:val="22"/>
          <w:lang w:eastAsia="ja-JP"/>
        </w:rPr>
        <w:t xml:space="preserve"> shall continue to apply to such retained Company Personal Data for so long as it is retained by such Contracted Vendor.</w:t>
      </w:r>
    </w:p>
    <w:p w14:paraId="5EE3EDC2"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Audit Rights.</w:t>
      </w:r>
    </w:p>
    <w:p w14:paraId="69251AE5" w14:textId="60A60976" w:rsidR="00A0256B" w:rsidRPr="00A0256B" w:rsidRDefault="00A0256B" w:rsidP="00A0256B">
      <w:pPr>
        <w:numPr>
          <w:ilvl w:val="1"/>
          <w:numId w:val="12"/>
        </w:numPr>
        <w:spacing w:after="200"/>
        <w:outlineLvl w:val="1"/>
        <w:rPr>
          <w:rFonts w:eastAsia="Times New Roman"/>
          <w:bCs/>
          <w:iCs/>
          <w:sz w:val="22"/>
          <w:szCs w:val="22"/>
          <w:lang w:eastAsia="ja-JP"/>
        </w:rPr>
      </w:pPr>
      <w:bookmarkStart w:id="11" w:name="_Ref28258802"/>
      <w:r w:rsidRPr="00A0256B">
        <w:rPr>
          <w:rFonts w:eastAsia="Times New Roman"/>
          <w:bCs/>
          <w:iCs/>
          <w:sz w:val="22"/>
          <w:szCs w:val="22"/>
          <w:lang w:eastAsia="ja-JP"/>
        </w:rPr>
        <w:t>Subject to Section</w:t>
      </w:r>
      <w:r w:rsidR="00EC210E">
        <w:rPr>
          <w:rFonts w:eastAsia="Times New Roman"/>
          <w:bCs/>
          <w:iCs/>
          <w:sz w:val="22"/>
          <w:szCs w:val="22"/>
          <w:lang w:eastAsia="ja-JP"/>
        </w:rPr>
        <w:t xml:space="preserve"> </w:t>
      </w:r>
      <w:r w:rsidR="00EC210E">
        <w:rPr>
          <w:rFonts w:eastAsia="Times New Roman"/>
          <w:bCs/>
          <w:iCs/>
          <w:sz w:val="22"/>
          <w:szCs w:val="22"/>
          <w:lang w:eastAsia="ja-JP"/>
        </w:rPr>
        <w:fldChar w:fldCharType="begin"/>
      </w:r>
      <w:r w:rsidR="00EC210E">
        <w:rPr>
          <w:rFonts w:eastAsia="Times New Roman"/>
          <w:bCs/>
          <w:iCs/>
          <w:sz w:val="22"/>
          <w:szCs w:val="22"/>
          <w:lang w:eastAsia="ja-JP"/>
        </w:rPr>
        <w:instrText xml:space="preserve"> REF _Ref54699372 \r \h </w:instrText>
      </w:r>
      <w:r w:rsidR="00EC210E">
        <w:rPr>
          <w:rFonts w:eastAsia="Times New Roman"/>
          <w:bCs/>
          <w:iCs/>
          <w:sz w:val="22"/>
          <w:szCs w:val="22"/>
          <w:lang w:eastAsia="ja-JP"/>
        </w:rPr>
      </w:r>
      <w:r w:rsidR="00EC210E">
        <w:rPr>
          <w:rFonts w:eastAsia="Times New Roman"/>
          <w:bCs/>
          <w:iCs/>
          <w:sz w:val="22"/>
          <w:szCs w:val="22"/>
          <w:lang w:eastAsia="ja-JP"/>
        </w:rPr>
        <w:fldChar w:fldCharType="separate"/>
      </w:r>
      <w:r w:rsidR="00FD7D56">
        <w:rPr>
          <w:rFonts w:eastAsia="Times New Roman"/>
          <w:bCs/>
          <w:iCs/>
          <w:sz w:val="22"/>
          <w:szCs w:val="22"/>
          <w:lang w:eastAsia="ja-JP"/>
        </w:rPr>
        <w:t>11.2</w:t>
      </w:r>
      <w:r w:rsidR="00EC210E">
        <w:rPr>
          <w:rFonts w:eastAsia="Times New Roman"/>
          <w:bCs/>
          <w:iCs/>
          <w:sz w:val="22"/>
          <w:szCs w:val="22"/>
          <w:lang w:eastAsia="ja-JP"/>
        </w:rPr>
        <w:fldChar w:fldCharType="end"/>
      </w:r>
      <w:r w:rsidRPr="00A0256B">
        <w:rPr>
          <w:rFonts w:eastAsia="Times New Roman"/>
          <w:bCs/>
          <w:iCs/>
          <w:sz w:val="22"/>
          <w:szCs w:val="22"/>
          <w:lang w:eastAsia="ja-JP"/>
        </w:rPr>
        <w:t xml:space="preserve">, each applicable Contracted Vendor shall reasonably make available to each Company Group Member on request all information necessary to demonstrate compliance with this </w:t>
      </w:r>
      <w:r w:rsidR="00B6084D">
        <w:rPr>
          <w:rFonts w:eastAsia="Times New Roman"/>
          <w:bCs/>
          <w:iCs/>
          <w:sz w:val="22"/>
          <w:szCs w:val="22"/>
          <w:lang w:eastAsia="ja-JP"/>
        </w:rPr>
        <w:t>Agreement</w:t>
      </w:r>
      <w:r w:rsidRPr="00A0256B">
        <w:rPr>
          <w:rFonts w:eastAsia="Times New Roman"/>
          <w:bCs/>
          <w:iCs/>
          <w:sz w:val="22"/>
          <w:szCs w:val="22"/>
          <w:lang w:eastAsia="ja-JP"/>
        </w:rPr>
        <w:t>, and shall allow for and cooperate with audits, including inspections, by any Company Group Member or an auditor appointed by any Company Group Member in relation to the Processing of the Company Personal Data by the Contracted Vendor.</w:t>
      </w:r>
      <w:bookmarkEnd w:id="11"/>
    </w:p>
    <w:p w14:paraId="4F85A0DA" w14:textId="2E03ACD0" w:rsidR="00A0256B" w:rsidRPr="00A0256B" w:rsidRDefault="00A0256B" w:rsidP="00A0256B">
      <w:pPr>
        <w:numPr>
          <w:ilvl w:val="1"/>
          <w:numId w:val="12"/>
        </w:numPr>
        <w:spacing w:after="200"/>
        <w:outlineLvl w:val="1"/>
        <w:rPr>
          <w:rFonts w:eastAsia="Times New Roman"/>
          <w:bCs/>
          <w:iCs/>
          <w:sz w:val="22"/>
          <w:szCs w:val="22"/>
          <w:lang w:eastAsia="ja-JP"/>
        </w:rPr>
      </w:pPr>
      <w:bookmarkStart w:id="12" w:name="_Ref54699372"/>
      <w:r w:rsidRPr="00A0256B">
        <w:rPr>
          <w:rFonts w:eastAsia="Times New Roman"/>
          <w:bCs/>
          <w:iCs/>
          <w:sz w:val="22"/>
          <w:szCs w:val="22"/>
          <w:lang w:eastAsia="ja-JP"/>
        </w:rPr>
        <w:t xml:space="preserve">The applicable Company Group Member undertaking an audit shall give at least fifteen (15) days’ written notice to the applicable Contracted Vendor with regard to any audit or inspection to be conducted under Section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_Ref28258802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11.1</w:t>
      </w:r>
      <w:r w:rsidRPr="00A0256B">
        <w:rPr>
          <w:rFonts w:eastAsia="Times New Roman"/>
          <w:bCs/>
          <w:iCs/>
          <w:sz w:val="22"/>
          <w:szCs w:val="22"/>
          <w:lang w:eastAsia="ja-JP"/>
        </w:rPr>
        <w:fldChar w:fldCharType="end"/>
      </w:r>
      <w:r w:rsidRPr="00A0256B">
        <w:rPr>
          <w:rFonts w:eastAsia="Times New Roman"/>
          <w:bCs/>
          <w:iCs/>
          <w:sz w:val="22"/>
          <w:szCs w:val="22"/>
          <w:lang w:eastAsia="ja-JP"/>
        </w:rPr>
        <w:t>, and shall reasonably avoid (and ensure that each of its appointed auditors reasonably avoids) causing any damage, injury or disruption to the Contracted Vendor's premises, equipment, personnel and business while its personnel are on those premises in the course of such an audit or inspection:</w:t>
      </w:r>
      <w:bookmarkEnd w:id="12"/>
    </w:p>
    <w:p w14:paraId="5478A6FB" w14:textId="7D2A97A4"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 xml:space="preserve">A Contracted Vendor need not give access to its premises for the purposes of an audit or inspection under Section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_Ref28258802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11.1</w:t>
      </w:r>
      <w:r w:rsidRPr="00A0256B">
        <w:rPr>
          <w:rFonts w:eastAsia="Times New Roman"/>
          <w:bCs/>
          <w:iCs/>
          <w:sz w:val="22"/>
          <w:szCs w:val="22"/>
          <w:lang w:eastAsia="ja-JP"/>
        </w:rPr>
        <w:fldChar w:fldCharType="end"/>
      </w:r>
      <w:r w:rsidRPr="00A0256B">
        <w:rPr>
          <w:rFonts w:eastAsia="Times New Roman"/>
          <w:bCs/>
          <w:iCs/>
          <w:sz w:val="22"/>
          <w:szCs w:val="22"/>
          <w:lang w:eastAsia="ja-JP"/>
        </w:rPr>
        <w:t>:</w:t>
      </w:r>
    </w:p>
    <w:p w14:paraId="33AAD894"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 xml:space="preserve">to any individual unless he or she produces reasonable evidence of identity and </w:t>
      </w:r>
      <w:proofErr w:type="gramStart"/>
      <w:r w:rsidRPr="00A0256B">
        <w:rPr>
          <w:rFonts w:eastAsia="Times New Roman"/>
          <w:bCs/>
          <w:sz w:val="22"/>
          <w:szCs w:val="20"/>
          <w:lang w:eastAsia="ja-JP"/>
        </w:rPr>
        <w:t>authority;</w:t>
      </w:r>
      <w:proofErr w:type="gramEnd"/>
    </w:p>
    <w:p w14:paraId="3C438719" w14:textId="77777777" w:rsidR="00A0256B" w:rsidRPr="00A0256B" w:rsidRDefault="00A0256B" w:rsidP="00A0256B">
      <w:pPr>
        <w:numPr>
          <w:ilvl w:val="2"/>
          <w:numId w:val="12"/>
        </w:numPr>
        <w:spacing w:after="200"/>
        <w:outlineLvl w:val="2"/>
        <w:rPr>
          <w:rFonts w:eastAsia="Times New Roman"/>
          <w:bCs/>
          <w:sz w:val="22"/>
          <w:szCs w:val="20"/>
          <w:lang w:eastAsia="ja-JP"/>
        </w:rPr>
      </w:pPr>
      <w:r w:rsidRPr="00A0256B">
        <w:rPr>
          <w:rFonts w:eastAsia="Times New Roman"/>
          <w:bCs/>
          <w:sz w:val="22"/>
          <w:szCs w:val="20"/>
          <w:lang w:eastAsia="ja-JP"/>
        </w:rPr>
        <w:t xml:space="preserve">without the person or entity conducting the audit binding itself in writing to terms of confidentiality acceptable to </w:t>
      </w:r>
      <w:proofErr w:type="gramStart"/>
      <w:r w:rsidRPr="00A0256B">
        <w:rPr>
          <w:rFonts w:eastAsia="Times New Roman"/>
          <w:bCs/>
          <w:sz w:val="22"/>
          <w:szCs w:val="20"/>
          <w:lang w:eastAsia="ja-JP"/>
        </w:rPr>
        <w:t>Vendor;</w:t>
      </w:r>
      <w:proofErr w:type="gramEnd"/>
    </w:p>
    <w:p w14:paraId="05A2A20D" w14:textId="77777777"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outside normal business hours; or</w:t>
      </w:r>
    </w:p>
    <w:p w14:paraId="4B2F89A4" w14:textId="77777777" w:rsidR="00A0256B" w:rsidRPr="00A0256B" w:rsidRDefault="00A0256B" w:rsidP="00A0256B">
      <w:pPr>
        <w:numPr>
          <w:ilvl w:val="2"/>
          <w:numId w:val="12"/>
        </w:numPr>
        <w:spacing w:after="200"/>
        <w:outlineLvl w:val="2"/>
        <w:rPr>
          <w:rFonts w:eastAsia="Times New Roman"/>
          <w:bCs/>
          <w:sz w:val="22"/>
          <w:szCs w:val="20"/>
          <w:lang w:eastAsia="ja-JP"/>
        </w:rPr>
      </w:pPr>
      <w:r w:rsidRPr="00A0256B">
        <w:rPr>
          <w:rFonts w:eastAsia="Times New Roman"/>
          <w:bCs/>
          <w:sz w:val="22"/>
          <w:szCs w:val="20"/>
          <w:lang w:eastAsia="ja-JP"/>
        </w:rPr>
        <w:t>more than once per year.</w:t>
      </w:r>
    </w:p>
    <w:p w14:paraId="79C025E7" w14:textId="62FACD26" w:rsidR="00A0256B" w:rsidRDefault="00A0256B" w:rsidP="00A0256B">
      <w:pPr>
        <w:numPr>
          <w:ilvl w:val="1"/>
          <w:numId w:val="12"/>
        </w:numPr>
        <w:spacing w:after="200"/>
        <w:outlineLvl w:val="0"/>
        <w:rPr>
          <w:rFonts w:eastAsia="Times New Roman"/>
          <w:bCs/>
          <w:sz w:val="22"/>
          <w:szCs w:val="22"/>
          <w:lang w:eastAsia="ja-JP"/>
        </w:rPr>
      </w:pPr>
      <w:proofErr w:type="gramStart"/>
      <w:r w:rsidRPr="00A0256B">
        <w:rPr>
          <w:rFonts w:eastAsia="Times New Roman"/>
          <w:bCs/>
          <w:sz w:val="22"/>
          <w:szCs w:val="22"/>
          <w:lang w:eastAsia="ja-JP"/>
        </w:rPr>
        <w:t>In the event that</w:t>
      </w:r>
      <w:proofErr w:type="gramEnd"/>
      <w:r w:rsidRPr="00A0256B">
        <w:rPr>
          <w:rFonts w:eastAsia="Times New Roman"/>
          <w:bCs/>
          <w:sz w:val="22"/>
          <w:szCs w:val="22"/>
          <w:lang w:eastAsia="ja-JP"/>
        </w:rPr>
        <w:t xml:space="preserve"> an audit reveals the Contracted Vendor is not in compliance with the terms and conditions of this </w:t>
      </w:r>
      <w:r w:rsidR="00B6084D">
        <w:rPr>
          <w:rFonts w:eastAsia="Times New Roman"/>
          <w:bCs/>
          <w:sz w:val="22"/>
          <w:szCs w:val="22"/>
          <w:lang w:eastAsia="ja-JP"/>
        </w:rPr>
        <w:t>Agreement</w:t>
      </w:r>
      <w:r w:rsidRPr="00A0256B">
        <w:rPr>
          <w:rFonts w:eastAsia="Times New Roman"/>
          <w:bCs/>
          <w:sz w:val="22"/>
          <w:szCs w:val="22"/>
          <w:lang w:eastAsia="ja-JP"/>
        </w:rPr>
        <w:t xml:space="preserve"> or Applicable Laws, the Company Group Member will </w:t>
      </w:r>
      <w:r w:rsidRPr="00A0256B">
        <w:rPr>
          <w:rFonts w:eastAsia="Times New Roman"/>
          <w:bCs/>
          <w:sz w:val="22"/>
          <w:szCs w:val="22"/>
          <w:lang w:eastAsia="ja-JP"/>
        </w:rPr>
        <w:lastRenderedPageBreak/>
        <w:t>promptly notify the Contracted Vendo</w:t>
      </w:r>
      <w:r w:rsidR="008E682D">
        <w:rPr>
          <w:rFonts w:eastAsia="Times New Roman"/>
          <w:bCs/>
          <w:sz w:val="22"/>
          <w:szCs w:val="22"/>
          <w:lang w:eastAsia="ja-JP"/>
        </w:rPr>
        <w:t xml:space="preserve">r of such non-compliance. </w:t>
      </w:r>
      <w:r w:rsidRPr="00A0256B">
        <w:rPr>
          <w:rFonts w:eastAsia="Times New Roman"/>
          <w:bCs/>
          <w:sz w:val="22"/>
          <w:szCs w:val="22"/>
          <w:lang w:eastAsia="ja-JP"/>
        </w:rPr>
        <w:t xml:space="preserve">The Vendor and/or Contracted Vendor agree(s) that such non-compliance shall be materially remedied within thirty (30) days of its receipt of notice of non-compliance, and if it does not, Vendor and/or Contracted Vendor further agrees that Company and/or applicable Company Group Member may immediately upon notice to Vendor, terminate </w:t>
      </w:r>
      <w:r w:rsidR="00220D45" w:rsidRPr="00A0256B">
        <w:rPr>
          <w:rFonts w:eastAsia="Times New Roman"/>
          <w:bCs/>
          <w:sz w:val="22"/>
          <w:szCs w:val="22"/>
          <w:lang w:eastAsia="ja-JP"/>
        </w:rPr>
        <w:t>th</w:t>
      </w:r>
      <w:r w:rsidR="00220D45">
        <w:rPr>
          <w:rFonts w:eastAsia="Times New Roman"/>
          <w:bCs/>
          <w:sz w:val="22"/>
          <w:szCs w:val="22"/>
          <w:lang w:eastAsia="ja-JP"/>
        </w:rPr>
        <w:t>is</w:t>
      </w:r>
      <w:r w:rsidR="00220D45" w:rsidRPr="00A0256B">
        <w:rPr>
          <w:rFonts w:eastAsia="Times New Roman"/>
          <w:bCs/>
          <w:sz w:val="22"/>
          <w:szCs w:val="22"/>
          <w:lang w:eastAsia="ja-JP"/>
        </w:rPr>
        <w:t xml:space="preserve"> </w:t>
      </w:r>
      <w:r w:rsidRPr="00A0256B">
        <w:rPr>
          <w:rFonts w:eastAsia="Times New Roman"/>
          <w:bCs/>
          <w:sz w:val="22"/>
          <w:szCs w:val="22"/>
          <w:lang w:eastAsia="ja-JP"/>
        </w:rPr>
        <w:t>Agreement.</w:t>
      </w:r>
    </w:p>
    <w:p w14:paraId="052E2D6F" w14:textId="125DA88B" w:rsidR="00C64153" w:rsidRPr="00A0256B" w:rsidRDefault="00C64153" w:rsidP="00C64153">
      <w:pPr>
        <w:numPr>
          <w:ilvl w:val="1"/>
          <w:numId w:val="12"/>
        </w:numPr>
        <w:spacing w:after="200"/>
        <w:outlineLvl w:val="0"/>
        <w:rPr>
          <w:rFonts w:eastAsia="Times New Roman"/>
          <w:bCs/>
          <w:sz w:val="22"/>
          <w:szCs w:val="22"/>
          <w:lang w:eastAsia="ja-JP"/>
        </w:rPr>
      </w:pPr>
      <w:r>
        <w:rPr>
          <w:rFonts w:eastAsia="Times New Roman"/>
          <w:bCs/>
          <w:sz w:val="22"/>
          <w:szCs w:val="22"/>
          <w:lang w:eastAsia="ja-JP"/>
        </w:rPr>
        <w:t>A</w:t>
      </w:r>
      <w:r w:rsidRPr="00C64153">
        <w:rPr>
          <w:rFonts w:eastAsia="Times New Roman"/>
          <w:bCs/>
          <w:sz w:val="22"/>
          <w:szCs w:val="22"/>
          <w:lang w:eastAsia="ja-JP"/>
        </w:rPr>
        <w:t xml:space="preserve">ny audit or inspection conducted under this Section 11 shall be at Company’s sole cost and expense and Company shall indemnify, </w:t>
      </w:r>
      <w:proofErr w:type="gramStart"/>
      <w:r w:rsidRPr="00C64153">
        <w:rPr>
          <w:rFonts w:eastAsia="Times New Roman"/>
          <w:bCs/>
          <w:sz w:val="22"/>
          <w:szCs w:val="22"/>
          <w:lang w:eastAsia="ja-JP"/>
        </w:rPr>
        <w:t>defend</w:t>
      </w:r>
      <w:proofErr w:type="gramEnd"/>
      <w:r w:rsidRPr="00C64153">
        <w:rPr>
          <w:rFonts w:eastAsia="Times New Roman"/>
          <w:bCs/>
          <w:sz w:val="22"/>
          <w:szCs w:val="22"/>
          <w:lang w:eastAsia="ja-JP"/>
        </w:rPr>
        <w:t xml:space="preserve"> and hold harmless Contracted Vendor from any act or omission of any employee, agent or representative of Company or a mandated </w:t>
      </w:r>
      <w:r w:rsidR="00F01B6A" w:rsidRPr="00C64153">
        <w:rPr>
          <w:rFonts w:eastAsia="Times New Roman"/>
          <w:bCs/>
          <w:sz w:val="22"/>
          <w:szCs w:val="22"/>
          <w:lang w:eastAsia="ja-JP"/>
        </w:rPr>
        <w:t>third</w:t>
      </w:r>
      <w:r w:rsidR="00F01B6A">
        <w:rPr>
          <w:rFonts w:eastAsia="Times New Roman"/>
          <w:bCs/>
          <w:sz w:val="22"/>
          <w:szCs w:val="22"/>
          <w:lang w:eastAsia="ja-JP"/>
        </w:rPr>
        <w:t>-</w:t>
      </w:r>
      <w:r w:rsidRPr="00C64153">
        <w:rPr>
          <w:rFonts w:eastAsia="Times New Roman"/>
          <w:bCs/>
          <w:sz w:val="22"/>
          <w:szCs w:val="22"/>
          <w:lang w:eastAsia="ja-JP"/>
        </w:rPr>
        <w:t>party auditor during such audit or inspection.</w:t>
      </w:r>
    </w:p>
    <w:p w14:paraId="5B7AFA24" w14:textId="77777777" w:rsidR="00A0256B" w:rsidRPr="00A0256B" w:rsidRDefault="00A0256B" w:rsidP="00A0256B">
      <w:pPr>
        <w:numPr>
          <w:ilvl w:val="0"/>
          <w:numId w:val="12"/>
        </w:numPr>
        <w:spacing w:after="200"/>
        <w:outlineLvl w:val="0"/>
        <w:rPr>
          <w:rFonts w:eastAsia="Times New Roman"/>
          <w:bCs/>
          <w:sz w:val="22"/>
          <w:szCs w:val="22"/>
          <w:lang w:eastAsia="ja-JP"/>
        </w:rPr>
      </w:pPr>
      <w:r w:rsidRPr="00A0256B">
        <w:rPr>
          <w:rFonts w:eastAsia="Times New Roman"/>
          <w:bCs/>
          <w:sz w:val="22"/>
          <w:szCs w:val="22"/>
          <w:lang w:eastAsia="ja-JP"/>
        </w:rPr>
        <w:t>Restricted Transfers.</w:t>
      </w:r>
    </w:p>
    <w:p w14:paraId="17DB0E39" w14:textId="313F7664"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 xml:space="preserve">With respect to Restricted Transfers taking place between the Company Group Member and the Vendor, if applicable, </w:t>
      </w:r>
      <w:r w:rsidR="00AA3A07">
        <w:rPr>
          <w:rFonts w:eastAsia="Times New Roman"/>
          <w:bCs/>
          <w:iCs/>
          <w:sz w:val="22"/>
          <w:szCs w:val="22"/>
          <w:lang w:eastAsia="ja-JP"/>
        </w:rPr>
        <w:t xml:space="preserve">the Company Group Member shall encrypt the Company Personal Data prior to transferring it to the Vendor, and </w:t>
      </w:r>
      <w:r w:rsidRPr="00A0256B">
        <w:rPr>
          <w:rFonts w:eastAsia="Times New Roman"/>
          <w:bCs/>
          <w:iCs/>
          <w:sz w:val="22"/>
          <w:szCs w:val="22"/>
          <w:lang w:eastAsia="ja-JP"/>
        </w:rPr>
        <w:t>the Appropriate Safeguard shall be as provide</w:t>
      </w:r>
      <w:r w:rsidR="006F766F">
        <w:rPr>
          <w:rFonts w:eastAsia="Times New Roman"/>
          <w:bCs/>
          <w:iCs/>
          <w:sz w:val="22"/>
          <w:szCs w:val="22"/>
          <w:lang w:eastAsia="ja-JP"/>
        </w:rPr>
        <w:t>d in Annex 2</w:t>
      </w:r>
      <w:r w:rsidR="00F01B6A">
        <w:rPr>
          <w:rFonts w:eastAsia="Times New Roman"/>
          <w:bCs/>
          <w:iCs/>
          <w:sz w:val="22"/>
          <w:szCs w:val="22"/>
          <w:lang w:eastAsia="ja-JP"/>
        </w:rPr>
        <w:t xml:space="preserve"> for Personal Data subject to the EU GDPR</w:t>
      </w:r>
      <w:r w:rsidR="00527F3A">
        <w:rPr>
          <w:rFonts w:eastAsia="Times New Roman"/>
          <w:bCs/>
          <w:iCs/>
          <w:sz w:val="22"/>
          <w:szCs w:val="22"/>
          <w:lang w:eastAsia="ja-JP"/>
        </w:rPr>
        <w:t xml:space="preserve">, </w:t>
      </w:r>
      <w:r w:rsidR="00F01B6A">
        <w:rPr>
          <w:rFonts w:eastAsia="Times New Roman"/>
          <w:bCs/>
          <w:iCs/>
          <w:sz w:val="22"/>
          <w:szCs w:val="22"/>
          <w:lang w:eastAsia="ja-JP"/>
        </w:rPr>
        <w:t xml:space="preserve">and in the case of Personal Data subject to the UK GDPR the Appropriate Safeguard shall comprise Annex 2 and </w:t>
      </w:r>
      <w:r w:rsidR="00527F3A">
        <w:rPr>
          <w:rFonts w:eastAsia="Times New Roman"/>
          <w:bCs/>
          <w:iCs/>
          <w:sz w:val="22"/>
          <w:szCs w:val="22"/>
          <w:lang w:eastAsia="ja-JP"/>
        </w:rPr>
        <w:t>Annex 3</w:t>
      </w:r>
      <w:r w:rsidR="00F01B6A">
        <w:rPr>
          <w:rFonts w:eastAsia="Times New Roman"/>
          <w:bCs/>
          <w:iCs/>
          <w:sz w:val="22"/>
          <w:szCs w:val="22"/>
          <w:lang w:eastAsia="ja-JP"/>
        </w:rPr>
        <w:t xml:space="preserve"> together</w:t>
      </w:r>
      <w:r w:rsidR="00527F3A">
        <w:rPr>
          <w:rFonts w:eastAsia="Times New Roman"/>
          <w:bCs/>
          <w:iCs/>
          <w:sz w:val="22"/>
          <w:szCs w:val="22"/>
          <w:lang w:eastAsia="ja-JP"/>
        </w:rPr>
        <w:t>, as applicable</w:t>
      </w:r>
      <w:r w:rsidR="006F766F">
        <w:rPr>
          <w:rFonts w:eastAsia="Times New Roman"/>
          <w:bCs/>
          <w:iCs/>
          <w:sz w:val="22"/>
          <w:szCs w:val="22"/>
          <w:lang w:eastAsia="ja-JP"/>
        </w:rPr>
        <w:t xml:space="preserve"> to this </w:t>
      </w:r>
      <w:r w:rsidR="00B6084D">
        <w:rPr>
          <w:rFonts w:eastAsia="Times New Roman"/>
          <w:bCs/>
          <w:iCs/>
          <w:sz w:val="22"/>
          <w:szCs w:val="22"/>
          <w:lang w:eastAsia="ja-JP"/>
        </w:rPr>
        <w:t>Agreement</w:t>
      </w:r>
      <w:r w:rsidR="006F766F">
        <w:rPr>
          <w:rFonts w:eastAsia="Times New Roman"/>
          <w:bCs/>
          <w:iCs/>
          <w:sz w:val="22"/>
          <w:szCs w:val="22"/>
          <w:lang w:eastAsia="ja-JP"/>
        </w:rPr>
        <w:t xml:space="preserve">. </w:t>
      </w:r>
      <w:r w:rsidRPr="00A0256B">
        <w:rPr>
          <w:rFonts w:eastAsia="Times New Roman"/>
          <w:bCs/>
          <w:iCs/>
          <w:sz w:val="22"/>
          <w:szCs w:val="22"/>
          <w:lang w:eastAsia="ja-JP"/>
        </w:rPr>
        <w:t xml:space="preserve">After careful consideration by the parties of the circumstances of such Restricted Transfer to the United States, the </w:t>
      </w:r>
      <w:r w:rsidR="00F01B6A">
        <w:rPr>
          <w:rFonts w:eastAsia="Times New Roman"/>
          <w:bCs/>
          <w:iCs/>
          <w:sz w:val="22"/>
          <w:szCs w:val="22"/>
          <w:lang w:eastAsia="ja-JP"/>
        </w:rPr>
        <w:t xml:space="preserve">applicable </w:t>
      </w:r>
      <w:r w:rsidRPr="00A0256B">
        <w:rPr>
          <w:rFonts w:eastAsia="Times New Roman"/>
          <w:bCs/>
          <w:iCs/>
          <w:sz w:val="22"/>
          <w:szCs w:val="22"/>
          <w:lang w:eastAsia="ja-JP"/>
        </w:rPr>
        <w:t>Appropriate Safeguard</w:t>
      </w:r>
      <w:r w:rsidR="00F01B6A">
        <w:rPr>
          <w:rFonts w:eastAsia="Times New Roman"/>
          <w:bCs/>
          <w:iCs/>
          <w:sz w:val="22"/>
          <w:szCs w:val="22"/>
          <w:lang w:eastAsia="ja-JP"/>
        </w:rPr>
        <w:t xml:space="preserve"> described above</w:t>
      </w:r>
      <w:r w:rsidRPr="00A0256B">
        <w:rPr>
          <w:rFonts w:eastAsia="Times New Roman"/>
          <w:bCs/>
          <w:iCs/>
          <w:sz w:val="22"/>
          <w:szCs w:val="22"/>
          <w:lang w:eastAsia="ja-JP"/>
        </w:rPr>
        <w:t xml:space="preserve">, and the additional safeguards provided in this </w:t>
      </w:r>
      <w:r w:rsidR="00B6084D">
        <w:rPr>
          <w:rFonts w:eastAsia="Times New Roman"/>
          <w:bCs/>
          <w:iCs/>
          <w:sz w:val="22"/>
          <w:szCs w:val="22"/>
          <w:lang w:eastAsia="ja-JP"/>
        </w:rPr>
        <w:t>Agreement</w:t>
      </w:r>
      <w:r w:rsidRPr="00A0256B">
        <w:rPr>
          <w:rFonts w:eastAsia="Times New Roman"/>
          <w:bCs/>
          <w:iCs/>
          <w:sz w:val="22"/>
          <w:szCs w:val="22"/>
          <w:lang w:eastAsia="ja-JP"/>
        </w:rPr>
        <w:t xml:space="preserve">, </w:t>
      </w:r>
      <w:r w:rsidR="00F01B6A">
        <w:rPr>
          <w:rFonts w:eastAsia="Times New Roman"/>
          <w:bCs/>
          <w:iCs/>
          <w:sz w:val="22"/>
          <w:szCs w:val="22"/>
          <w:lang w:eastAsia="ja-JP"/>
        </w:rPr>
        <w:t xml:space="preserve">provide the </w:t>
      </w:r>
      <w:r w:rsidRPr="00A0256B">
        <w:rPr>
          <w:rFonts w:eastAsia="Times New Roman"/>
          <w:bCs/>
          <w:iCs/>
          <w:sz w:val="22"/>
          <w:szCs w:val="22"/>
          <w:lang w:eastAsia="ja-JP"/>
        </w:rPr>
        <w:t xml:space="preserve">Data Subjects who are located in the EEA and whose Personal Data is Processed hereunder enjoy an essentially equivalent level of protection and rights as they do under the </w:t>
      </w:r>
      <w:r w:rsidR="00F01B6A">
        <w:rPr>
          <w:rFonts w:eastAsia="Times New Roman"/>
          <w:bCs/>
          <w:iCs/>
          <w:sz w:val="22"/>
          <w:szCs w:val="22"/>
          <w:lang w:eastAsia="ja-JP"/>
        </w:rPr>
        <w:t xml:space="preserve">EU </w:t>
      </w:r>
      <w:r w:rsidRPr="00A0256B">
        <w:rPr>
          <w:rFonts w:eastAsia="Times New Roman"/>
          <w:bCs/>
          <w:iCs/>
          <w:sz w:val="22"/>
          <w:szCs w:val="22"/>
          <w:lang w:eastAsia="ja-JP"/>
        </w:rPr>
        <w:t>GDPR in the EEA with respect to their Personal Data (“</w:t>
      </w:r>
      <w:r w:rsidRPr="00A0256B">
        <w:rPr>
          <w:rFonts w:eastAsia="Times New Roman"/>
          <w:bCs/>
          <w:iCs/>
          <w:sz w:val="22"/>
          <w:szCs w:val="22"/>
          <w:u w:val="single"/>
          <w:lang w:eastAsia="ja-JP"/>
        </w:rPr>
        <w:t>Essential Equivalence</w:t>
      </w:r>
      <w:r w:rsidRPr="00A0256B">
        <w:rPr>
          <w:rFonts w:eastAsia="Times New Roman"/>
          <w:bCs/>
          <w:iCs/>
          <w:sz w:val="22"/>
          <w:szCs w:val="22"/>
          <w:lang w:eastAsia="ja-JP"/>
        </w:rPr>
        <w:t>”).</w:t>
      </w:r>
    </w:p>
    <w:p w14:paraId="49BD5DB3" w14:textId="77777777"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 xml:space="preserve">Before it commences any Restricted Transfer to a </w:t>
      </w:r>
      <w:proofErr w:type="spellStart"/>
      <w:r w:rsidRPr="00A0256B">
        <w:rPr>
          <w:rFonts w:eastAsia="Times New Roman"/>
          <w:bCs/>
          <w:iCs/>
          <w:sz w:val="22"/>
          <w:szCs w:val="22"/>
          <w:lang w:eastAsia="ja-JP"/>
        </w:rPr>
        <w:t>Subprocessor</w:t>
      </w:r>
      <w:proofErr w:type="spellEnd"/>
      <w:r w:rsidRPr="00A0256B">
        <w:rPr>
          <w:rFonts w:eastAsia="Times New Roman"/>
          <w:bCs/>
          <w:iCs/>
          <w:sz w:val="22"/>
          <w:szCs w:val="22"/>
          <w:lang w:eastAsia="ja-JP"/>
        </w:rPr>
        <w:t xml:space="preserve">, a Contracted Vendor shall ensure that an Appropriate Safeguard exists between itself and the </w:t>
      </w:r>
      <w:proofErr w:type="spellStart"/>
      <w:r w:rsidRPr="00A0256B">
        <w:rPr>
          <w:rFonts w:eastAsia="Times New Roman"/>
          <w:bCs/>
          <w:iCs/>
          <w:sz w:val="22"/>
          <w:szCs w:val="22"/>
          <w:lang w:eastAsia="ja-JP"/>
        </w:rPr>
        <w:t>Subprocessor</w:t>
      </w:r>
      <w:proofErr w:type="spellEnd"/>
      <w:r w:rsidRPr="00A0256B">
        <w:rPr>
          <w:rFonts w:eastAsia="Times New Roman"/>
          <w:bCs/>
          <w:iCs/>
          <w:sz w:val="22"/>
          <w:szCs w:val="22"/>
          <w:lang w:eastAsia="ja-JP"/>
        </w:rPr>
        <w:t>, or if necessary, between the Company Group Member (the “</w:t>
      </w:r>
      <w:r w:rsidRPr="00A0256B">
        <w:rPr>
          <w:rFonts w:eastAsia="Times New Roman"/>
          <w:bCs/>
          <w:iCs/>
          <w:sz w:val="22"/>
          <w:szCs w:val="22"/>
          <w:u w:val="single"/>
          <w:lang w:eastAsia="ja-JP"/>
        </w:rPr>
        <w:t>Data Exporter</w:t>
      </w:r>
      <w:r w:rsidRPr="00A0256B">
        <w:rPr>
          <w:rFonts w:eastAsia="Times New Roman"/>
          <w:bCs/>
          <w:iCs/>
          <w:sz w:val="22"/>
          <w:szCs w:val="22"/>
          <w:lang w:eastAsia="ja-JP"/>
        </w:rPr>
        <w:t xml:space="preserve">”) and the </w:t>
      </w:r>
      <w:proofErr w:type="spellStart"/>
      <w:r w:rsidRPr="00A0256B">
        <w:rPr>
          <w:rFonts w:eastAsia="Times New Roman"/>
          <w:bCs/>
          <w:iCs/>
          <w:sz w:val="22"/>
          <w:szCs w:val="22"/>
          <w:lang w:eastAsia="ja-JP"/>
        </w:rPr>
        <w:t>Subprocessor</w:t>
      </w:r>
      <w:proofErr w:type="spellEnd"/>
      <w:r w:rsidRPr="00A0256B">
        <w:rPr>
          <w:rFonts w:eastAsia="Times New Roman"/>
          <w:bCs/>
          <w:iCs/>
          <w:sz w:val="22"/>
          <w:szCs w:val="22"/>
          <w:lang w:eastAsia="ja-JP"/>
        </w:rPr>
        <w:t xml:space="preserve"> (the “</w:t>
      </w:r>
      <w:r w:rsidRPr="00A0256B">
        <w:rPr>
          <w:rFonts w:eastAsia="Times New Roman"/>
          <w:bCs/>
          <w:iCs/>
          <w:sz w:val="22"/>
          <w:szCs w:val="22"/>
          <w:u w:val="single"/>
          <w:lang w:eastAsia="ja-JP"/>
        </w:rPr>
        <w:t>Data Importer</w:t>
      </w:r>
      <w:r w:rsidRPr="00A0256B">
        <w:rPr>
          <w:rFonts w:eastAsia="Times New Roman"/>
          <w:bCs/>
          <w:iCs/>
          <w:sz w:val="22"/>
          <w:szCs w:val="22"/>
          <w:lang w:eastAsia="ja-JP"/>
        </w:rPr>
        <w:t>”) that provides Essential Equivalence for applicable Data Subjects, and if that is not the case, the Contracted Vendor shall institute such additional safeguards as are necessary to provide Essential Equivalence in the country that the Company Personal Data will be imported into.</w:t>
      </w:r>
    </w:p>
    <w:p w14:paraId="00C07053" w14:textId="449C899B" w:rsidR="00A0256B" w:rsidRPr="00A0256B" w:rsidRDefault="00A0256B" w:rsidP="00A0256B">
      <w:pPr>
        <w:numPr>
          <w:ilvl w:val="1"/>
          <w:numId w:val="12"/>
        </w:numPr>
        <w:spacing w:after="200"/>
        <w:outlineLvl w:val="1"/>
        <w:rPr>
          <w:rFonts w:eastAsia="Times New Roman"/>
          <w:bCs/>
          <w:iCs/>
          <w:sz w:val="22"/>
          <w:szCs w:val="22"/>
          <w:lang w:eastAsia="ja-JP"/>
        </w:rPr>
      </w:pPr>
      <w:bookmarkStart w:id="13" w:name="_Ref28258908"/>
      <w:r w:rsidRPr="00A0256B">
        <w:rPr>
          <w:rFonts w:eastAsia="Times New Roman"/>
          <w:bCs/>
          <w:iCs/>
          <w:sz w:val="22"/>
          <w:szCs w:val="22"/>
          <w:lang w:eastAsia="ja-JP"/>
        </w:rPr>
        <w:t xml:space="preserve">Notwithstanding anything to the contrary </w:t>
      </w:r>
      <w:r w:rsidR="00220D45">
        <w:rPr>
          <w:rFonts w:eastAsia="Times New Roman"/>
          <w:bCs/>
          <w:iCs/>
          <w:sz w:val="22"/>
          <w:szCs w:val="22"/>
          <w:lang w:eastAsia="ja-JP"/>
        </w:rPr>
        <w:t>herein</w:t>
      </w:r>
      <w:r w:rsidRPr="00A0256B">
        <w:rPr>
          <w:rFonts w:eastAsia="Times New Roman"/>
          <w:bCs/>
          <w:iCs/>
          <w:sz w:val="22"/>
          <w:szCs w:val="22"/>
          <w:lang w:eastAsia="ja-JP"/>
        </w:rPr>
        <w:t xml:space="preserve">, for sole purpose of engaging in Restricted Transfers, which are strictly necessary to perform the Services under </w:t>
      </w:r>
      <w:r w:rsidR="00220D45" w:rsidRPr="00A0256B">
        <w:rPr>
          <w:rFonts w:eastAsia="Times New Roman"/>
          <w:bCs/>
          <w:iCs/>
          <w:sz w:val="22"/>
          <w:szCs w:val="22"/>
          <w:lang w:eastAsia="ja-JP"/>
        </w:rPr>
        <w:t>th</w:t>
      </w:r>
      <w:r w:rsidR="00220D45">
        <w:rPr>
          <w:rFonts w:eastAsia="Times New Roman"/>
          <w:bCs/>
          <w:iCs/>
          <w:sz w:val="22"/>
          <w:szCs w:val="22"/>
          <w:lang w:eastAsia="ja-JP"/>
        </w:rPr>
        <w:t>is</w:t>
      </w:r>
      <w:r w:rsidR="00220D45" w:rsidRPr="00A0256B">
        <w:rPr>
          <w:rFonts w:eastAsia="Times New Roman"/>
          <w:bCs/>
          <w:iCs/>
          <w:sz w:val="22"/>
          <w:szCs w:val="22"/>
          <w:lang w:eastAsia="ja-JP"/>
        </w:rPr>
        <w:t xml:space="preserve"> </w:t>
      </w:r>
      <w:r w:rsidRPr="00A0256B">
        <w:rPr>
          <w:rFonts w:eastAsia="Times New Roman"/>
          <w:bCs/>
          <w:iCs/>
          <w:sz w:val="22"/>
          <w:szCs w:val="22"/>
          <w:lang w:eastAsia="ja-JP"/>
        </w:rPr>
        <w:t xml:space="preserve">Agreement, and only where the Standard Contractual Clauses are the Appropriate Safeguard selected, Company Group Member grants to the Contracted Vendor limited agency rights to </w:t>
      </w:r>
      <w:proofErr w:type="gramStart"/>
      <w:r w:rsidRPr="00A0256B">
        <w:rPr>
          <w:rFonts w:eastAsia="Times New Roman"/>
          <w:bCs/>
          <w:iCs/>
          <w:sz w:val="22"/>
          <w:szCs w:val="22"/>
          <w:lang w:eastAsia="ja-JP"/>
        </w:rPr>
        <w:t>enter into</w:t>
      </w:r>
      <w:proofErr w:type="gramEnd"/>
      <w:r w:rsidRPr="00A0256B">
        <w:rPr>
          <w:rFonts w:eastAsia="Times New Roman"/>
          <w:bCs/>
          <w:iCs/>
          <w:sz w:val="22"/>
          <w:szCs w:val="22"/>
          <w:lang w:eastAsia="ja-JP"/>
        </w:rPr>
        <w:t xml:space="preserve"> the Standard Contractual Clauses on its behalf with the applicable Vendor Affiliate or </w:t>
      </w:r>
      <w:proofErr w:type="spellStart"/>
      <w:r w:rsidRPr="00A0256B">
        <w:rPr>
          <w:rFonts w:eastAsia="Times New Roman"/>
          <w:bCs/>
          <w:iCs/>
          <w:sz w:val="22"/>
          <w:szCs w:val="22"/>
          <w:lang w:eastAsia="ja-JP"/>
        </w:rPr>
        <w:t>Subprocessor</w:t>
      </w:r>
      <w:proofErr w:type="spellEnd"/>
      <w:r w:rsidRPr="00A0256B">
        <w:rPr>
          <w:rFonts w:eastAsia="Times New Roman"/>
          <w:bCs/>
          <w:iCs/>
          <w:sz w:val="22"/>
          <w:szCs w:val="22"/>
          <w:lang w:eastAsia="ja-JP"/>
        </w:rPr>
        <w:t>.</w:t>
      </w:r>
      <w:bookmarkEnd w:id="13"/>
    </w:p>
    <w:p w14:paraId="3AABBA11" w14:textId="77777777" w:rsidR="00A46629" w:rsidRDefault="00A46629" w:rsidP="00A46629">
      <w:pPr>
        <w:numPr>
          <w:ilvl w:val="0"/>
          <w:numId w:val="12"/>
        </w:numPr>
        <w:spacing w:after="200"/>
        <w:outlineLvl w:val="1"/>
        <w:rPr>
          <w:rFonts w:eastAsia="Times New Roman"/>
          <w:bCs/>
          <w:iCs/>
          <w:sz w:val="22"/>
          <w:szCs w:val="22"/>
          <w:lang w:eastAsia="ja-JP"/>
        </w:rPr>
      </w:pPr>
      <w:r w:rsidRPr="00A46629">
        <w:rPr>
          <w:rFonts w:eastAsia="Times New Roman"/>
          <w:bCs/>
          <w:iCs/>
          <w:sz w:val="22"/>
          <w:szCs w:val="22"/>
          <w:lang w:eastAsia="ja-JP"/>
        </w:rPr>
        <w:t>Term and Termination</w:t>
      </w:r>
      <w:r>
        <w:rPr>
          <w:rFonts w:eastAsia="Times New Roman"/>
          <w:bCs/>
          <w:iCs/>
          <w:sz w:val="22"/>
          <w:szCs w:val="22"/>
          <w:lang w:eastAsia="ja-JP"/>
        </w:rPr>
        <w:t xml:space="preserve">.  This Agreement shall be effective from the Effective Date until the Services are completed, or the earlier termination of this Agreement by either party as set forth herein.  </w:t>
      </w:r>
      <w:r w:rsidRPr="00E53107">
        <w:rPr>
          <w:rFonts w:eastAsia="Times New Roman"/>
          <w:bCs/>
          <w:iCs/>
          <w:sz w:val="22"/>
          <w:szCs w:val="22"/>
          <w:lang w:eastAsia="ja-JP"/>
        </w:rPr>
        <w:t xml:space="preserve">This Agreement may be terminated for cause upon thirty (30) calendar days’ notice if the other </w:t>
      </w:r>
      <w:r>
        <w:rPr>
          <w:rFonts w:eastAsia="Times New Roman"/>
          <w:bCs/>
          <w:iCs/>
          <w:sz w:val="22"/>
          <w:szCs w:val="22"/>
          <w:lang w:eastAsia="ja-JP"/>
        </w:rPr>
        <w:t>p</w:t>
      </w:r>
      <w:r w:rsidRPr="00E53107">
        <w:rPr>
          <w:rFonts w:eastAsia="Times New Roman"/>
          <w:bCs/>
          <w:iCs/>
          <w:sz w:val="22"/>
          <w:szCs w:val="22"/>
          <w:lang w:eastAsia="ja-JP"/>
        </w:rPr>
        <w:t>arty breaches a material term of this Agreement, and such breach is not materially cured within thirty (30) calendar days.</w:t>
      </w:r>
      <w:r>
        <w:rPr>
          <w:rFonts w:eastAsia="Times New Roman"/>
          <w:bCs/>
          <w:iCs/>
          <w:sz w:val="22"/>
          <w:szCs w:val="22"/>
          <w:lang w:eastAsia="ja-JP"/>
        </w:rPr>
        <w:t xml:space="preserve">  Additionally, Vendor may terminate this Agreement with or without cause upon ten (10) days’ notice to Company without penalty, liability, or further obligation.  Termination will not affect any part of this </w:t>
      </w:r>
      <w:proofErr w:type="gramStart"/>
      <w:r>
        <w:rPr>
          <w:rFonts w:eastAsia="Times New Roman"/>
          <w:bCs/>
          <w:iCs/>
          <w:sz w:val="22"/>
          <w:szCs w:val="22"/>
          <w:lang w:eastAsia="ja-JP"/>
        </w:rPr>
        <w:t>Agreement</w:t>
      </w:r>
      <w:proofErr w:type="gramEnd"/>
      <w:r>
        <w:rPr>
          <w:rFonts w:eastAsia="Times New Roman"/>
          <w:bCs/>
          <w:iCs/>
          <w:sz w:val="22"/>
          <w:szCs w:val="22"/>
          <w:lang w:eastAsia="ja-JP"/>
        </w:rPr>
        <w:t xml:space="preserve"> which is explicitly indicated to survive, or by its nature survives, the termination of this Agreement.</w:t>
      </w:r>
    </w:p>
    <w:p w14:paraId="690DFCA8" w14:textId="77777777" w:rsidR="00A46629" w:rsidRPr="00E44A45" w:rsidRDefault="00A46629" w:rsidP="00A46629">
      <w:pPr>
        <w:numPr>
          <w:ilvl w:val="0"/>
          <w:numId w:val="12"/>
        </w:numPr>
        <w:spacing w:after="200"/>
        <w:outlineLvl w:val="1"/>
        <w:rPr>
          <w:rFonts w:eastAsia="Times New Roman"/>
          <w:bCs/>
          <w:iCs/>
          <w:sz w:val="22"/>
          <w:szCs w:val="22"/>
          <w:lang w:eastAsia="ja-JP"/>
        </w:rPr>
      </w:pPr>
      <w:r w:rsidRPr="00A46629">
        <w:rPr>
          <w:rFonts w:eastAsia="Times New Roman"/>
          <w:bCs/>
          <w:iCs/>
          <w:sz w:val="22"/>
          <w:szCs w:val="22"/>
          <w:lang w:eastAsia="ja-JP"/>
        </w:rPr>
        <w:t>Indemnification</w:t>
      </w:r>
      <w:r w:rsidRPr="00E44A45">
        <w:rPr>
          <w:rFonts w:eastAsia="Times New Roman"/>
          <w:bCs/>
          <w:iCs/>
          <w:sz w:val="22"/>
          <w:szCs w:val="22"/>
          <w:lang w:eastAsia="ja-JP"/>
        </w:rPr>
        <w:t xml:space="preserve">. </w:t>
      </w:r>
      <w:r w:rsidRPr="00E44A45">
        <w:rPr>
          <w:rFonts w:eastAsia="Times New Roman"/>
          <w:bCs/>
          <w:sz w:val="22"/>
          <w:szCs w:val="20"/>
          <w:lang w:eastAsia="ja-JP"/>
        </w:rPr>
        <w:t xml:space="preserve">Company agrees to defend, indemnify, and hold </w:t>
      </w:r>
      <w:r>
        <w:rPr>
          <w:rFonts w:eastAsia="Times New Roman"/>
          <w:bCs/>
          <w:sz w:val="22"/>
          <w:szCs w:val="20"/>
          <w:lang w:eastAsia="ja-JP"/>
        </w:rPr>
        <w:t xml:space="preserve">harmless </w:t>
      </w:r>
      <w:r w:rsidRPr="00E44A45">
        <w:rPr>
          <w:rFonts w:eastAsia="Times New Roman"/>
          <w:bCs/>
          <w:sz w:val="22"/>
          <w:szCs w:val="20"/>
          <w:lang w:eastAsia="ja-JP"/>
        </w:rPr>
        <w:t xml:space="preserve">Vendor and all Contracted Vendors and their respective directors, officers, employees, and agents from and against all damages, costs (including reasonable attorneys’ fees), judgments and other expenses arising out of or on </w:t>
      </w:r>
      <w:r w:rsidRPr="00E44A45">
        <w:rPr>
          <w:rFonts w:eastAsia="Times New Roman"/>
          <w:bCs/>
          <w:sz w:val="22"/>
          <w:szCs w:val="20"/>
          <w:lang w:eastAsia="ja-JP"/>
        </w:rPr>
        <w:lastRenderedPageBreak/>
        <w:t xml:space="preserve">account of a third-party lawsuit, investigation, allegation, proceeding or other claim </w:t>
      </w:r>
      <w:r>
        <w:rPr>
          <w:rFonts w:eastAsia="Times New Roman"/>
          <w:bCs/>
          <w:sz w:val="22"/>
          <w:szCs w:val="20"/>
          <w:lang w:eastAsia="ja-JP"/>
        </w:rPr>
        <w:t xml:space="preserve">arising from or </w:t>
      </w:r>
      <w:r w:rsidRPr="00E44A45">
        <w:rPr>
          <w:rFonts w:eastAsia="Times New Roman"/>
          <w:bCs/>
          <w:sz w:val="22"/>
          <w:szCs w:val="20"/>
          <w:lang w:eastAsia="ja-JP"/>
        </w:rPr>
        <w:t>relating to</w:t>
      </w:r>
      <w:r>
        <w:rPr>
          <w:rFonts w:eastAsia="Times New Roman"/>
          <w:bCs/>
          <w:sz w:val="22"/>
          <w:szCs w:val="20"/>
          <w:lang w:eastAsia="ja-JP"/>
        </w:rPr>
        <w:t xml:space="preserve"> (</w:t>
      </w:r>
      <w:proofErr w:type="spellStart"/>
      <w:r>
        <w:rPr>
          <w:rFonts w:eastAsia="Times New Roman"/>
          <w:bCs/>
          <w:sz w:val="22"/>
          <w:szCs w:val="20"/>
          <w:lang w:eastAsia="ja-JP"/>
        </w:rPr>
        <w:t>i</w:t>
      </w:r>
      <w:proofErr w:type="spellEnd"/>
      <w:r>
        <w:rPr>
          <w:rFonts w:eastAsia="Times New Roman"/>
          <w:bCs/>
          <w:sz w:val="22"/>
          <w:szCs w:val="20"/>
          <w:lang w:eastAsia="ja-JP"/>
        </w:rPr>
        <w:t xml:space="preserve">) </w:t>
      </w:r>
      <w:r w:rsidRPr="00E44A45">
        <w:rPr>
          <w:rFonts w:eastAsia="Times New Roman"/>
          <w:bCs/>
          <w:sz w:val="22"/>
          <w:szCs w:val="20"/>
          <w:lang w:eastAsia="ja-JP"/>
        </w:rPr>
        <w:t xml:space="preserve">the performance of the Services by </w:t>
      </w:r>
      <w:r>
        <w:rPr>
          <w:rFonts w:eastAsia="Times New Roman"/>
          <w:bCs/>
          <w:sz w:val="22"/>
          <w:szCs w:val="20"/>
          <w:lang w:eastAsia="ja-JP"/>
        </w:rPr>
        <w:t>any Contracted Vendor</w:t>
      </w:r>
      <w:r w:rsidRPr="00E44A45">
        <w:rPr>
          <w:rFonts w:eastAsia="Times New Roman"/>
          <w:bCs/>
          <w:sz w:val="22"/>
          <w:szCs w:val="20"/>
          <w:lang w:eastAsia="ja-JP"/>
        </w:rPr>
        <w:t xml:space="preserve"> that were directed by </w:t>
      </w:r>
      <w:r>
        <w:rPr>
          <w:rFonts w:eastAsia="Times New Roman"/>
          <w:bCs/>
          <w:sz w:val="22"/>
          <w:szCs w:val="20"/>
          <w:lang w:eastAsia="ja-JP"/>
        </w:rPr>
        <w:t xml:space="preserve">a </w:t>
      </w:r>
      <w:r w:rsidRPr="00E44A45">
        <w:rPr>
          <w:rFonts w:eastAsia="Times New Roman"/>
          <w:bCs/>
          <w:sz w:val="22"/>
          <w:szCs w:val="20"/>
          <w:lang w:eastAsia="ja-JP"/>
        </w:rPr>
        <w:t>Company Group Member</w:t>
      </w:r>
      <w:r>
        <w:rPr>
          <w:rFonts w:eastAsia="Times New Roman"/>
          <w:bCs/>
          <w:sz w:val="22"/>
          <w:szCs w:val="20"/>
          <w:lang w:eastAsia="ja-JP"/>
        </w:rPr>
        <w:t xml:space="preserve">; (ii) </w:t>
      </w:r>
      <w:r w:rsidRPr="00E44A45">
        <w:rPr>
          <w:rFonts w:eastAsia="Times New Roman"/>
          <w:bCs/>
          <w:sz w:val="22"/>
          <w:szCs w:val="20"/>
          <w:lang w:eastAsia="ja-JP"/>
        </w:rPr>
        <w:t xml:space="preserve">any </w:t>
      </w:r>
      <w:r>
        <w:rPr>
          <w:rFonts w:eastAsia="Times New Roman"/>
          <w:bCs/>
          <w:sz w:val="22"/>
          <w:szCs w:val="20"/>
          <w:lang w:eastAsia="ja-JP"/>
        </w:rPr>
        <w:t xml:space="preserve">actual or alleged </w:t>
      </w:r>
      <w:r w:rsidRPr="00E44A45">
        <w:rPr>
          <w:rFonts w:eastAsia="Times New Roman"/>
          <w:bCs/>
          <w:sz w:val="22"/>
          <w:szCs w:val="20"/>
          <w:lang w:eastAsia="ja-JP"/>
        </w:rPr>
        <w:t xml:space="preserve">breach of this Agreement </w:t>
      </w:r>
      <w:r>
        <w:rPr>
          <w:rFonts w:eastAsia="Times New Roman"/>
          <w:bCs/>
          <w:sz w:val="22"/>
          <w:szCs w:val="20"/>
          <w:lang w:eastAsia="ja-JP"/>
        </w:rPr>
        <w:t xml:space="preserve">or applicable law </w:t>
      </w:r>
      <w:r w:rsidRPr="00E44A45">
        <w:rPr>
          <w:rFonts w:eastAsia="Times New Roman"/>
          <w:bCs/>
          <w:sz w:val="22"/>
          <w:szCs w:val="20"/>
          <w:lang w:eastAsia="ja-JP"/>
        </w:rPr>
        <w:t>by</w:t>
      </w:r>
      <w:r>
        <w:rPr>
          <w:rFonts w:eastAsia="Times New Roman"/>
          <w:bCs/>
          <w:sz w:val="22"/>
          <w:szCs w:val="20"/>
          <w:lang w:eastAsia="ja-JP"/>
        </w:rPr>
        <w:t xml:space="preserve"> any</w:t>
      </w:r>
      <w:r w:rsidRPr="00E44A45">
        <w:rPr>
          <w:rFonts w:eastAsia="Times New Roman"/>
          <w:bCs/>
          <w:sz w:val="22"/>
          <w:szCs w:val="20"/>
          <w:lang w:eastAsia="ja-JP"/>
        </w:rPr>
        <w:t xml:space="preserve"> Company Group Member</w:t>
      </w:r>
      <w:r>
        <w:rPr>
          <w:rFonts w:eastAsia="Times New Roman"/>
          <w:bCs/>
          <w:sz w:val="22"/>
          <w:szCs w:val="20"/>
          <w:lang w:eastAsia="ja-JP"/>
        </w:rPr>
        <w:t xml:space="preserve">(s); and (iii) the acts and omissions of </w:t>
      </w:r>
      <w:r w:rsidRPr="00E44A45">
        <w:rPr>
          <w:rFonts w:eastAsia="Times New Roman"/>
          <w:bCs/>
          <w:sz w:val="22"/>
          <w:szCs w:val="20"/>
          <w:lang w:eastAsia="ja-JP"/>
        </w:rPr>
        <w:t>Company Group Member</w:t>
      </w:r>
      <w:r>
        <w:rPr>
          <w:rFonts w:eastAsia="Times New Roman"/>
          <w:bCs/>
          <w:sz w:val="22"/>
          <w:szCs w:val="20"/>
          <w:lang w:eastAsia="ja-JP"/>
        </w:rPr>
        <w:t>s.</w:t>
      </w:r>
    </w:p>
    <w:p w14:paraId="58A2BB1B" w14:textId="77777777" w:rsidR="00A46629" w:rsidRPr="00E44A45" w:rsidRDefault="00A46629" w:rsidP="002F2EF6">
      <w:pPr>
        <w:keepNext/>
        <w:numPr>
          <w:ilvl w:val="0"/>
          <w:numId w:val="12"/>
        </w:numPr>
        <w:spacing w:after="200"/>
        <w:outlineLvl w:val="1"/>
        <w:rPr>
          <w:rFonts w:eastAsia="Times New Roman"/>
          <w:bCs/>
          <w:iCs/>
          <w:sz w:val="22"/>
          <w:szCs w:val="22"/>
          <w:lang w:eastAsia="ja-JP"/>
        </w:rPr>
      </w:pPr>
      <w:r w:rsidRPr="00A46629">
        <w:rPr>
          <w:rFonts w:eastAsia="Times New Roman"/>
          <w:bCs/>
          <w:iCs/>
          <w:sz w:val="22"/>
          <w:szCs w:val="22"/>
          <w:lang w:eastAsia="ja-JP"/>
        </w:rPr>
        <w:t>Limitations</w:t>
      </w:r>
      <w:r w:rsidRPr="00E44A45">
        <w:rPr>
          <w:rFonts w:eastAsia="Times New Roman"/>
          <w:bCs/>
          <w:iCs/>
          <w:sz w:val="22"/>
          <w:szCs w:val="22"/>
          <w:lang w:eastAsia="ja-JP"/>
        </w:rPr>
        <w:t>.</w:t>
      </w:r>
    </w:p>
    <w:p w14:paraId="75F0E13C" w14:textId="0135FD1A" w:rsidR="00A46629" w:rsidRPr="00DF3D16" w:rsidRDefault="00A46629" w:rsidP="00A46629">
      <w:pPr>
        <w:numPr>
          <w:ilvl w:val="1"/>
          <w:numId w:val="12"/>
        </w:numPr>
        <w:spacing w:after="200"/>
        <w:outlineLvl w:val="1"/>
        <w:rPr>
          <w:rFonts w:eastAsia="Times New Roman"/>
          <w:bCs/>
          <w:iCs/>
          <w:sz w:val="22"/>
          <w:szCs w:val="22"/>
          <w:lang w:eastAsia="ja-JP"/>
        </w:rPr>
      </w:pPr>
      <w:r w:rsidRPr="00E44A45">
        <w:rPr>
          <w:rFonts w:eastAsia="Times New Roman"/>
          <w:bCs/>
          <w:iCs/>
          <w:sz w:val="22"/>
          <w:szCs w:val="22"/>
          <w:u w:val="single"/>
          <w:lang w:eastAsia="ja-JP"/>
        </w:rPr>
        <w:t>Damages</w:t>
      </w:r>
      <w:r w:rsidRPr="00E44A45">
        <w:rPr>
          <w:rFonts w:eastAsia="Times New Roman"/>
          <w:bCs/>
          <w:iCs/>
          <w:sz w:val="22"/>
          <w:szCs w:val="22"/>
          <w:lang w:eastAsia="ja-JP"/>
        </w:rPr>
        <w:t xml:space="preserve">.  </w:t>
      </w:r>
      <w:r w:rsidR="00652171">
        <w:rPr>
          <w:rFonts w:eastAsia="Times New Roman"/>
          <w:bCs/>
          <w:iCs/>
          <w:sz w:val="22"/>
          <w:szCs w:val="22"/>
          <w:lang w:eastAsia="ja-JP"/>
        </w:rPr>
        <w:t xml:space="preserve">EXCEPT TO THE EXTENT PROHIBITED BY APPLICABLE LAW, </w:t>
      </w:r>
      <w:r w:rsidRPr="00E44A45">
        <w:rPr>
          <w:rFonts w:eastAsia="Times New Roman"/>
          <w:bCs/>
          <w:iCs/>
          <w:sz w:val="22"/>
          <w:szCs w:val="22"/>
          <w:lang w:eastAsia="ja-JP"/>
        </w:rPr>
        <w:t>VENDOR SHALL N</w:t>
      </w:r>
      <w:r>
        <w:rPr>
          <w:rFonts w:eastAsia="Times New Roman"/>
          <w:bCs/>
          <w:iCs/>
          <w:sz w:val="22"/>
          <w:szCs w:val="22"/>
          <w:lang w:eastAsia="ja-JP"/>
        </w:rPr>
        <w:t xml:space="preserve">OT </w:t>
      </w:r>
      <w:r w:rsidRPr="00DF3D16">
        <w:rPr>
          <w:rFonts w:eastAsia="Times New Roman"/>
          <w:bCs/>
          <w:iCs/>
          <w:sz w:val="22"/>
          <w:szCs w:val="22"/>
          <w:lang w:eastAsia="ja-JP"/>
        </w:rPr>
        <w:t xml:space="preserve">BE LIABLE </w:t>
      </w:r>
      <w:r>
        <w:rPr>
          <w:rFonts w:eastAsia="Times New Roman"/>
          <w:bCs/>
          <w:iCs/>
          <w:sz w:val="22"/>
          <w:szCs w:val="22"/>
          <w:lang w:eastAsia="ja-JP"/>
        </w:rPr>
        <w:t xml:space="preserve">TO COMPANY </w:t>
      </w:r>
      <w:r w:rsidRPr="00DF3D16">
        <w:rPr>
          <w:rFonts w:eastAsia="Times New Roman"/>
          <w:bCs/>
          <w:iCs/>
          <w:sz w:val="22"/>
          <w:szCs w:val="22"/>
          <w:lang w:eastAsia="ja-JP"/>
        </w:rPr>
        <w:t xml:space="preserve">FOR ANY INCIDENTAL, INDIRECT, CONSEQUENTIAL, SPECIAL, OR PUNITIVE DAMAGES OF ANY KIND OR NATURE, INCLUDING, WITHOUT LIMITATION, DAMAGES ARISING FROM THE BREACH OF THIS AGREEMENT, WHETHER SUCH LIABILITY IS ASSERTED ON THE BASIS OF CONTRACT, TORT (INCLUDING NEGLIGENCE OR STRICT LIABILITY), OR OTHERWISE, EVEN IF </w:t>
      </w:r>
      <w:r>
        <w:rPr>
          <w:rFonts w:eastAsia="Times New Roman"/>
          <w:bCs/>
          <w:iCs/>
          <w:sz w:val="22"/>
          <w:szCs w:val="22"/>
          <w:lang w:eastAsia="ja-JP"/>
        </w:rPr>
        <w:t>VENDOR</w:t>
      </w:r>
      <w:r w:rsidRPr="00DF3D16">
        <w:rPr>
          <w:rFonts w:eastAsia="Times New Roman"/>
          <w:bCs/>
          <w:iCs/>
          <w:sz w:val="22"/>
          <w:szCs w:val="22"/>
          <w:lang w:eastAsia="ja-JP"/>
        </w:rPr>
        <w:t xml:space="preserve"> HAS BEEN ADVISED OF THE POSSIBILITY OF ANY SUCH LOSS OR DAMAGE.</w:t>
      </w:r>
    </w:p>
    <w:p w14:paraId="215ECE17" w14:textId="2D1E2086" w:rsidR="00A46629" w:rsidRPr="00A46629" w:rsidRDefault="00A46629" w:rsidP="00A46629">
      <w:pPr>
        <w:numPr>
          <w:ilvl w:val="1"/>
          <w:numId w:val="12"/>
        </w:numPr>
        <w:spacing w:after="200"/>
        <w:outlineLvl w:val="0"/>
        <w:rPr>
          <w:rFonts w:eastAsia="Times New Roman"/>
          <w:bCs/>
          <w:sz w:val="22"/>
          <w:szCs w:val="22"/>
          <w:lang w:eastAsia="ja-JP"/>
        </w:rPr>
      </w:pPr>
      <w:r w:rsidRPr="00DF3D16">
        <w:rPr>
          <w:rFonts w:eastAsia="Times New Roman"/>
          <w:bCs/>
          <w:iCs/>
          <w:sz w:val="22"/>
          <w:szCs w:val="22"/>
          <w:u w:val="single"/>
          <w:lang w:eastAsia="ja-JP"/>
        </w:rPr>
        <w:t>Liability</w:t>
      </w:r>
      <w:r w:rsidRPr="00DF3D16">
        <w:rPr>
          <w:rFonts w:eastAsia="Times New Roman"/>
          <w:bCs/>
          <w:iCs/>
          <w:sz w:val="22"/>
          <w:szCs w:val="22"/>
          <w:lang w:eastAsia="ja-JP"/>
        </w:rPr>
        <w:t>.</w:t>
      </w:r>
      <w:r>
        <w:rPr>
          <w:rFonts w:eastAsia="Times New Roman"/>
          <w:bCs/>
          <w:iCs/>
          <w:sz w:val="22"/>
          <w:szCs w:val="22"/>
          <w:lang w:eastAsia="ja-JP"/>
        </w:rPr>
        <w:t xml:space="preserve">  </w:t>
      </w:r>
      <w:r w:rsidR="00652171">
        <w:rPr>
          <w:rFonts w:eastAsia="Times New Roman"/>
          <w:bCs/>
          <w:iCs/>
          <w:sz w:val="22"/>
          <w:szCs w:val="22"/>
          <w:lang w:eastAsia="ja-JP"/>
        </w:rPr>
        <w:t xml:space="preserve">EXCEPT TO THE EXTENT PROHIBITED BY APPLICABLE LAW, </w:t>
      </w:r>
      <w:r w:rsidRPr="00DF3D16">
        <w:rPr>
          <w:rFonts w:eastAsia="Times New Roman"/>
          <w:bCs/>
          <w:iCs/>
          <w:sz w:val="22"/>
          <w:szCs w:val="22"/>
          <w:lang w:eastAsia="ja-JP"/>
        </w:rPr>
        <w:t xml:space="preserve">NOTWITHSTANDING ANY OTHER PROVISION OF THIS AGREEMENT, </w:t>
      </w:r>
      <w:r>
        <w:rPr>
          <w:rFonts w:eastAsia="Times New Roman"/>
          <w:bCs/>
          <w:iCs/>
          <w:sz w:val="22"/>
          <w:szCs w:val="22"/>
          <w:lang w:eastAsia="ja-JP"/>
        </w:rPr>
        <w:t>VENDOR</w:t>
      </w:r>
      <w:r w:rsidRPr="00DF3D16">
        <w:rPr>
          <w:rFonts w:eastAsia="Times New Roman"/>
          <w:bCs/>
          <w:iCs/>
          <w:sz w:val="22"/>
          <w:szCs w:val="22"/>
          <w:lang w:eastAsia="ja-JP"/>
        </w:rPr>
        <w:t xml:space="preserve">’S MAXIMUM AND TOTAL LIABILITY ARISING FROM OR IN CONNECTION WITH THIS AGREEMENT SHALL NOT EXCEED THE TOTAL OF THE </w:t>
      </w:r>
      <w:r>
        <w:rPr>
          <w:rFonts w:eastAsia="Times New Roman"/>
          <w:bCs/>
          <w:iCs/>
          <w:sz w:val="22"/>
          <w:szCs w:val="22"/>
          <w:lang w:eastAsia="ja-JP"/>
        </w:rPr>
        <w:t>AMOU</w:t>
      </w:r>
      <w:r w:rsidRPr="00DF3D16">
        <w:rPr>
          <w:rFonts w:eastAsia="Times New Roman"/>
          <w:bCs/>
          <w:iCs/>
          <w:sz w:val="22"/>
          <w:szCs w:val="22"/>
          <w:lang w:eastAsia="ja-JP"/>
        </w:rPr>
        <w:t xml:space="preserve">NTS </w:t>
      </w:r>
      <w:r>
        <w:rPr>
          <w:rFonts w:eastAsia="Times New Roman"/>
          <w:bCs/>
          <w:iCs/>
          <w:sz w:val="22"/>
          <w:szCs w:val="22"/>
          <w:lang w:eastAsia="ja-JP"/>
        </w:rPr>
        <w:t xml:space="preserve">ACTUALLY </w:t>
      </w:r>
      <w:r w:rsidRPr="00DF3D16">
        <w:rPr>
          <w:rFonts w:eastAsia="Times New Roman"/>
          <w:bCs/>
          <w:iCs/>
          <w:sz w:val="22"/>
          <w:szCs w:val="22"/>
          <w:lang w:eastAsia="ja-JP"/>
        </w:rPr>
        <w:t xml:space="preserve">PAID </w:t>
      </w:r>
      <w:r>
        <w:rPr>
          <w:rFonts w:eastAsia="Times New Roman"/>
          <w:bCs/>
          <w:iCs/>
          <w:sz w:val="22"/>
          <w:szCs w:val="22"/>
          <w:lang w:eastAsia="ja-JP"/>
        </w:rPr>
        <w:t xml:space="preserve">BY COMPANY </w:t>
      </w:r>
      <w:r w:rsidRPr="00DF3D16">
        <w:rPr>
          <w:rFonts w:eastAsia="Times New Roman"/>
          <w:bCs/>
          <w:iCs/>
          <w:sz w:val="22"/>
          <w:szCs w:val="22"/>
          <w:lang w:eastAsia="ja-JP"/>
        </w:rPr>
        <w:t xml:space="preserve">TO </w:t>
      </w:r>
      <w:r>
        <w:rPr>
          <w:rFonts w:eastAsia="Times New Roman"/>
          <w:bCs/>
          <w:iCs/>
          <w:sz w:val="22"/>
          <w:szCs w:val="22"/>
          <w:lang w:eastAsia="ja-JP"/>
        </w:rPr>
        <w:t>VENDOR IN CONNECTION WITH THIS AGREEMENT IN THE TWELVE (12) MONTHS IMMEDIATELY PROCEEDING THE EVENT GIVING RISE TO SUCH LIABILITY.</w:t>
      </w:r>
    </w:p>
    <w:p w14:paraId="6A3D6245" w14:textId="658F3C80" w:rsidR="00A0256B" w:rsidRPr="00A0256B" w:rsidRDefault="00A0256B" w:rsidP="00A46629">
      <w:pPr>
        <w:numPr>
          <w:ilvl w:val="0"/>
          <w:numId w:val="12"/>
        </w:numPr>
        <w:spacing w:after="200"/>
        <w:outlineLvl w:val="0"/>
        <w:rPr>
          <w:rFonts w:eastAsia="Times New Roman"/>
          <w:b/>
          <w:bCs/>
          <w:iCs/>
          <w:sz w:val="22"/>
          <w:szCs w:val="20"/>
          <w:lang w:eastAsia="ja-JP"/>
        </w:rPr>
      </w:pPr>
      <w:r w:rsidRPr="00A0256B">
        <w:rPr>
          <w:rFonts w:eastAsia="Times New Roman"/>
          <w:bCs/>
          <w:sz w:val="22"/>
          <w:szCs w:val="22"/>
          <w:lang w:eastAsia="ja-JP"/>
        </w:rPr>
        <w:t>General Terms</w:t>
      </w:r>
      <w:r w:rsidR="006F766F">
        <w:rPr>
          <w:rFonts w:eastAsia="Times New Roman"/>
          <w:bCs/>
          <w:sz w:val="22"/>
          <w:szCs w:val="22"/>
          <w:lang w:eastAsia="ja-JP"/>
        </w:rPr>
        <w:t>.</w:t>
      </w:r>
      <w:r w:rsidRPr="00A0256B">
        <w:rPr>
          <w:rFonts w:eastAsia="Times New Roman"/>
          <w:bCs/>
          <w:iCs/>
          <w:sz w:val="22"/>
          <w:szCs w:val="20"/>
          <w:lang w:eastAsia="ja-JP"/>
        </w:rPr>
        <w:t xml:space="preserve"> </w:t>
      </w:r>
    </w:p>
    <w:p w14:paraId="5346D2FD" w14:textId="77777777" w:rsidR="00A46629" w:rsidRDefault="00A46629" w:rsidP="00A46629">
      <w:pPr>
        <w:numPr>
          <w:ilvl w:val="1"/>
          <w:numId w:val="12"/>
        </w:numPr>
        <w:spacing w:after="200"/>
        <w:outlineLvl w:val="1"/>
        <w:rPr>
          <w:rFonts w:eastAsia="Times New Roman"/>
          <w:bCs/>
          <w:iCs/>
          <w:sz w:val="22"/>
          <w:szCs w:val="22"/>
          <w:lang w:eastAsia="ja-JP"/>
        </w:rPr>
      </w:pPr>
      <w:r w:rsidRPr="00CB28F2">
        <w:rPr>
          <w:rFonts w:eastAsia="Times New Roman"/>
          <w:bCs/>
          <w:iCs/>
          <w:sz w:val="22"/>
          <w:szCs w:val="22"/>
          <w:u w:val="single"/>
          <w:lang w:eastAsia="ja-JP"/>
        </w:rPr>
        <w:t>Governing Law</w:t>
      </w:r>
      <w:r>
        <w:rPr>
          <w:rFonts w:eastAsia="Times New Roman"/>
          <w:bCs/>
          <w:iCs/>
          <w:sz w:val="22"/>
          <w:szCs w:val="22"/>
          <w:u w:val="single"/>
          <w:lang w:eastAsia="ja-JP"/>
        </w:rPr>
        <w:t xml:space="preserve"> and Jurisdiction; Arbitration</w:t>
      </w:r>
      <w:r>
        <w:rPr>
          <w:rFonts w:eastAsia="Times New Roman"/>
          <w:bCs/>
          <w:iCs/>
          <w:sz w:val="22"/>
          <w:szCs w:val="22"/>
          <w:lang w:eastAsia="ja-JP"/>
        </w:rPr>
        <w:t xml:space="preserve">.  </w:t>
      </w:r>
    </w:p>
    <w:p w14:paraId="5F192114" w14:textId="77777777" w:rsidR="00A46629" w:rsidRDefault="00A46629" w:rsidP="00A46629">
      <w:pPr>
        <w:numPr>
          <w:ilvl w:val="2"/>
          <w:numId w:val="12"/>
        </w:numPr>
        <w:spacing w:after="200"/>
        <w:outlineLvl w:val="1"/>
        <w:rPr>
          <w:rFonts w:eastAsia="Times New Roman"/>
          <w:bCs/>
          <w:iCs/>
          <w:sz w:val="22"/>
          <w:szCs w:val="22"/>
          <w:lang w:eastAsia="ja-JP"/>
        </w:rPr>
      </w:pPr>
      <w:r>
        <w:rPr>
          <w:rFonts w:eastAsia="Times New Roman"/>
          <w:bCs/>
          <w:iCs/>
          <w:sz w:val="22"/>
          <w:szCs w:val="22"/>
          <w:lang w:eastAsia="ja-JP"/>
        </w:rPr>
        <w:t>The laws of the EU Member State in which the Company is established, or, if the Company is not established in the EU, the laws of the State of New York, USA, shall govern the validity, construction, performance, and enforcement of this Agreement without giving effect to the principle of conflict of laws.</w:t>
      </w:r>
    </w:p>
    <w:p w14:paraId="6216EF0E" w14:textId="77777777" w:rsidR="00A46629" w:rsidRDefault="00A46629" w:rsidP="00A46629">
      <w:pPr>
        <w:pStyle w:val="BodyText"/>
        <w:numPr>
          <w:ilvl w:val="2"/>
          <w:numId w:val="12"/>
        </w:numPr>
        <w:rPr>
          <w:sz w:val="22"/>
          <w:szCs w:val="22"/>
        </w:rPr>
      </w:pPr>
      <w:r w:rsidRPr="00966CFA">
        <w:rPr>
          <w:sz w:val="22"/>
          <w:szCs w:val="22"/>
          <w:u w:val="single"/>
        </w:rPr>
        <w:t>Arbitration</w:t>
      </w:r>
      <w:r w:rsidRPr="00966CFA">
        <w:rPr>
          <w:sz w:val="22"/>
          <w:szCs w:val="22"/>
        </w:rPr>
        <w:t xml:space="preserve">. Each party agrees to submit </w:t>
      </w:r>
      <w:proofErr w:type="gramStart"/>
      <w:r w:rsidRPr="00966CFA">
        <w:rPr>
          <w:sz w:val="22"/>
          <w:szCs w:val="22"/>
        </w:rPr>
        <w:t>any and all</w:t>
      </w:r>
      <w:proofErr w:type="gramEnd"/>
      <w:r w:rsidRPr="00966CFA">
        <w:rPr>
          <w:sz w:val="22"/>
          <w:szCs w:val="22"/>
        </w:rPr>
        <w:t xml:space="preserve"> disputes, claims and controversies arising between the parties hereto to final and binding arbitration, which shall be administered by the American Arbitration Association (“AAA”) in accordance with its rules then in effect</w:t>
      </w:r>
      <w:r>
        <w:rPr>
          <w:sz w:val="22"/>
          <w:szCs w:val="22"/>
        </w:rPr>
        <w:t>, including with respect to the payment of all filing, administration and arbitrator fees</w:t>
      </w:r>
      <w:r w:rsidRPr="00966CFA">
        <w:rPr>
          <w:sz w:val="22"/>
          <w:szCs w:val="22"/>
        </w:rPr>
        <w:t xml:space="preserve">. Any arbitration brought hereunder shall be heard by three (3) independent and impartial arbitrators. Two arbitrators shall be selected by the respective parties, one by the claimant(s) and one by the respondent(s). The third arbitrator shall be appointed by the two </w:t>
      </w:r>
      <w:r>
        <w:rPr>
          <w:sz w:val="22"/>
          <w:szCs w:val="22"/>
        </w:rPr>
        <w:t>p</w:t>
      </w:r>
      <w:r w:rsidRPr="00966CFA">
        <w:rPr>
          <w:sz w:val="22"/>
          <w:szCs w:val="22"/>
        </w:rPr>
        <w:t xml:space="preserve">arty-appointed arbitrators or by the AAA if such two arbitrators cannot agree. The place of the arbitration shall be New York, New York. </w:t>
      </w:r>
      <w:r>
        <w:rPr>
          <w:sz w:val="22"/>
          <w:szCs w:val="22"/>
        </w:rPr>
        <w:t xml:space="preserve">Such Arbitration shall take place in English.  </w:t>
      </w:r>
      <w:r w:rsidRPr="00966CFA">
        <w:rPr>
          <w:sz w:val="22"/>
          <w:szCs w:val="22"/>
        </w:rPr>
        <w:t xml:space="preserve">Any party’s refusal to select, or unreasonable delay in selecting, an arbitrator shall be considered a material breach of this Agreement. The arbitrators shall have the authority to grant any equitable and legal remedies that would be available in any judicial proceeding intended to resolve a dispute. Notwithstanding the foregoing, either party shall be entitled to bring an action seeking injunctive relief in any court of competent jurisdiction. The award rendered in an arbitration hereunder shall be final and non-appealable. Judgment on the award rendered may be entered in any court having jurisdiction thereof. Each of the parties shall keep the proceedings and </w:t>
      </w:r>
      <w:proofErr w:type="gramStart"/>
      <w:r w:rsidRPr="00966CFA">
        <w:rPr>
          <w:sz w:val="22"/>
          <w:szCs w:val="22"/>
        </w:rPr>
        <w:t>any and all</w:t>
      </w:r>
      <w:proofErr w:type="gramEnd"/>
      <w:r w:rsidRPr="00966CFA">
        <w:rPr>
          <w:sz w:val="22"/>
          <w:szCs w:val="22"/>
        </w:rPr>
        <w:t xml:space="preserve"> transcripts, statements, documents, discovery, </w:t>
      </w:r>
      <w:r w:rsidRPr="00966CFA">
        <w:rPr>
          <w:sz w:val="22"/>
          <w:szCs w:val="22"/>
        </w:rPr>
        <w:lastRenderedPageBreak/>
        <w:t>correspondence and all other non-public information produced or otherwise disclosed in connection with any such arbitration confidential.</w:t>
      </w:r>
    </w:p>
    <w:p w14:paraId="2967A3D7" w14:textId="52469A1A" w:rsidR="00A46629" w:rsidRDefault="00A46629" w:rsidP="00A46629">
      <w:pPr>
        <w:numPr>
          <w:ilvl w:val="2"/>
          <w:numId w:val="12"/>
        </w:numPr>
        <w:spacing w:after="200"/>
        <w:outlineLvl w:val="1"/>
        <w:rPr>
          <w:rFonts w:eastAsia="Times New Roman"/>
          <w:bCs/>
          <w:iCs/>
          <w:sz w:val="22"/>
          <w:szCs w:val="22"/>
          <w:lang w:eastAsia="ja-JP"/>
        </w:rPr>
      </w:pPr>
      <w:r>
        <w:rPr>
          <w:bCs/>
          <w:iCs/>
          <w:sz w:val="22"/>
          <w:szCs w:val="22"/>
          <w:lang w:eastAsia="ja-JP"/>
        </w:rPr>
        <w:t>To the extent arbitration</w:t>
      </w:r>
      <w:r w:rsidRPr="00B52D94">
        <w:rPr>
          <w:bCs/>
          <w:iCs/>
          <w:sz w:val="22"/>
          <w:szCs w:val="22"/>
          <w:lang w:eastAsia="ja-JP"/>
        </w:rPr>
        <w:t xml:space="preserve"> does not apply, </w:t>
      </w:r>
      <w:r w:rsidR="000A0D13">
        <w:rPr>
          <w:bCs/>
          <w:iCs/>
          <w:sz w:val="22"/>
          <w:szCs w:val="22"/>
          <w:lang w:eastAsia="ja-JP"/>
        </w:rPr>
        <w:t>Company</w:t>
      </w:r>
      <w:r w:rsidRPr="00B52D94">
        <w:rPr>
          <w:bCs/>
          <w:iCs/>
          <w:sz w:val="22"/>
          <w:szCs w:val="22"/>
          <w:lang w:eastAsia="ja-JP"/>
        </w:rPr>
        <w:t xml:space="preserve"> agree</w:t>
      </w:r>
      <w:r w:rsidR="000A0D13">
        <w:rPr>
          <w:bCs/>
          <w:iCs/>
          <w:sz w:val="22"/>
          <w:szCs w:val="22"/>
          <w:lang w:eastAsia="ja-JP"/>
        </w:rPr>
        <w:t>s</w:t>
      </w:r>
      <w:r w:rsidRPr="00B52D94">
        <w:rPr>
          <w:bCs/>
          <w:iCs/>
          <w:sz w:val="22"/>
          <w:szCs w:val="22"/>
          <w:lang w:eastAsia="ja-JP"/>
        </w:rPr>
        <w:t xml:space="preserve"> that any dispute arising out of or relating to the Service, or to </w:t>
      </w:r>
      <w:r w:rsidR="000A0D13">
        <w:rPr>
          <w:bCs/>
          <w:iCs/>
          <w:sz w:val="22"/>
          <w:szCs w:val="22"/>
          <w:lang w:eastAsia="ja-JP"/>
        </w:rPr>
        <w:t>Vendor</w:t>
      </w:r>
      <w:r w:rsidRPr="00B52D94">
        <w:rPr>
          <w:bCs/>
          <w:iCs/>
          <w:sz w:val="22"/>
          <w:szCs w:val="22"/>
          <w:lang w:eastAsia="ja-JP"/>
        </w:rPr>
        <w:t xml:space="preserve">, may only be brought by </w:t>
      </w:r>
      <w:r w:rsidR="000A0D13">
        <w:rPr>
          <w:bCs/>
          <w:iCs/>
          <w:sz w:val="22"/>
          <w:szCs w:val="22"/>
          <w:lang w:eastAsia="ja-JP"/>
        </w:rPr>
        <w:t>Company</w:t>
      </w:r>
      <w:r w:rsidRPr="00B52D94">
        <w:rPr>
          <w:bCs/>
          <w:iCs/>
          <w:sz w:val="22"/>
          <w:szCs w:val="22"/>
          <w:lang w:eastAsia="ja-JP"/>
        </w:rPr>
        <w:t xml:space="preserve"> in a state or federal court located in New York City, New York. </w:t>
      </w:r>
      <w:r>
        <w:rPr>
          <w:bCs/>
          <w:iCs/>
          <w:sz w:val="22"/>
          <w:szCs w:val="22"/>
          <w:lang w:eastAsia="ja-JP"/>
        </w:rPr>
        <w:t>EACH PARTY</w:t>
      </w:r>
      <w:r w:rsidRPr="00B52D94">
        <w:rPr>
          <w:bCs/>
          <w:iCs/>
          <w:sz w:val="22"/>
          <w:szCs w:val="22"/>
          <w:lang w:eastAsia="ja-JP"/>
        </w:rPr>
        <w:t xml:space="preserve"> HEREBY WAIVE</w:t>
      </w:r>
      <w:r>
        <w:rPr>
          <w:bCs/>
          <w:iCs/>
          <w:sz w:val="22"/>
          <w:szCs w:val="22"/>
          <w:lang w:eastAsia="ja-JP"/>
        </w:rPr>
        <w:t>S</w:t>
      </w:r>
      <w:r w:rsidRPr="00B52D94">
        <w:rPr>
          <w:bCs/>
          <w:iCs/>
          <w:sz w:val="22"/>
          <w:szCs w:val="22"/>
          <w:lang w:eastAsia="ja-JP"/>
        </w:rPr>
        <w:t xml:space="preserve"> ANY OBJECTION TO THIS VENUE AS INCONVENIENT OR </w:t>
      </w:r>
      <w:proofErr w:type="gramStart"/>
      <w:r w:rsidRPr="00B52D94">
        <w:rPr>
          <w:bCs/>
          <w:iCs/>
          <w:sz w:val="22"/>
          <w:szCs w:val="22"/>
          <w:lang w:eastAsia="ja-JP"/>
        </w:rPr>
        <w:t>INAPPROPRIATE, AND</w:t>
      </w:r>
      <w:proofErr w:type="gramEnd"/>
      <w:r w:rsidRPr="00B52D94">
        <w:rPr>
          <w:bCs/>
          <w:iCs/>
          <w:sz w:val="22"/>
          <w:szCs w:val="22"/>
          <w:lang w:eastAsia="ja-JP"/>
        </w:rPr>
        <w:t xml:space="preserve"> AGREE TO EXCLUSIVE JURISDICTION</w:t>
      </w:r>
      <w:r w:rsidR="000A0D13">
        <w:rPr>
          <w:bCs/>
          <w:iCs/>
          <w:sz w:val="22"/>
          <w:szCs w:val="22"/>
          <w:lang w:eastAsia="ja-JP"/>
        </w:rPr>
        <w:t xml:space="preserve"> </w:t>
      </w:r>
      <w:r w:rsidRPr="00B52D94">
        <w:rPr>
          <w:bCs/>
          <w:iCs/>
          <w:sz w:val="22"/>
          <w:szCs w:val="22"/>
          <w:lang w:eastAsia="ja-JP"/>
        </w:rPr>
        <w:t>AND VENUE IN NEW YORK.</w:t>
      </w:r>
      <w:r w:rsidRPr="00B52D94">
        <w:rPr>
          <w:rFonts w:eastAsia="Times New Roman"/>
          <w:bCs/>
          <w:iCs/>
          <w:sz w:val="22"/>
          <w:szCs w:val="22"/>
          <w:lang w:eastAsia="ja-JP"/>
        </w:rPr>
        <w:t xml:space="preserve"> </w:t>
      </w:r>
    </w:p>
    <w:p w14:paraId="4FEFD58B" w14:textId="28A0519C" w:rsidR="00A0256B" w:rsidRPr="00A0256B" w:rsidRDefault="00A0256B" w:rsidP="00A46629">
      <w:pPr>
        <w:numPr>
          <w:ilvl w:val="1"/>
          <w:numId w:val="12"/>
        </w:numPr>
        <w:spacing w:after="200"/>
        <w:outlineLvl w:val="1"/>
        <w:rPr>
          <w:rFonts w:eastAsia="Times New Roman"/>
          <w:bCs/>
          <w:iCs/>
          <w:sz w:val="22"/>
          <w:szCs w:val="22"/>
          <w:lang w:eastAsia="ja-JP"/>
        </w:rPr>
      </w:pPr>
      <w:r w:rsidRPr="00A0256B">
        <w:rPr>
          <w:rFonts w:eastAsia="Times New Roman"/>
          <w:bCs/>
          <w:iCs/>
          <w:sz w:val="22"/>
          <w:szCs w:val="22"/>
          <w:u w:val="single"/>
          <w:lang w:eastAsia="ja-JP"/>
        </w:rPr>
        <w:t>Precedence</w:t>
      </w:r>
      <w:r w:rsidRPr="00A0256B">
        <w:rPr>
          <w:rFonts w:eastAsia="Times New Roman"/>
          <w:bCs/>
          <w:iCs/>
          <w:sz w:val="22"/>
          <w:szCs w:val="22"/>
          <w:lang w:eastAsia="ja-JP"/>
        </w:rPr>
        <w:t xml:space="preserve">. In the event of inconsistencies between the provisions of this </w:t>
      </w:r>
      <w:r w:rsidR="00B6084D">
        <w:rPr>
          <w:rFonts w:eastAsia="Times New Roman"/>
          <w:bCs/>
          <w:iCs/>
          <w:sz w:val="22"/>
          <w:szCs w:val="22"/>
          <w:lang w:eastAsia="ja-JP"/>
        </w:rPr>
        <w:t>Agreement</w:t>
      </w:r>
      <w:r w:rsidRPr="00A0256B">
        <w:rPr>
          <w:rFonts w:eastAsia="Times New Roman"/>
          <w:bCs/>
          <w:iCs/>
          <w:sz w:val="22"/>
          <w:szCs w:val="22"/>
          <w:lang w:eastAsia="ja-JP"/>
        </w:rPr>
        <w:t xml:space="preserve"> and any other agreements between the parties (except where explicitly agreed otherwise in writing by the parties), the provisions of this </w:t>
      </w:r>
      <w:r w:rsidR="00B6084D">
        <w:rPr>
          <w:rFonts w:eastAsia="Times New Roman"/>
          <w:bCs/>
          <w:iCs/>
          <w:sz w:val="22"/>
          <w:szCs w:val="22"/>
          <w:lang w:eastAsia="ja-JP"/>
        </w:rPr>
        <w:t>Agreement</w:t>
      </w:r>
      <w:r w:rsidRPr="00A0256B">
        <w:rPr>
          <w:rFonts w:eastAsia="Times New Roman"/>
          <w:bCs/>
          <w:iCs/>
          <w:sz w:val="22"/>
          <w:szCs w:val="22"/>
          <w:lang w:eastAsia="ja-JP"/>
        </w:rPr>
        <w:t xml:space="preserve"> shall prevail</w:t>
      </w:r>
      <w:r w:rsidR="003B674C">
        <w:rPr>
          <w:rFonts w:eastAsia="Times New Roman"/>
          <w:bCs/>
          <w:iCs/>
          <w:sz w:val="22"/>
          <w:szCs w:val="22"/>
          <w:lang w:eastAsia="ja-JP"/>
        </w:rPr>
        <w:t xml:space="preserve"> with respect to the subject matter herein</w:t>
      </w:r>
      <w:r w:rsidRPr="00A0256B">
        <w:rPr>
          <w:rFonts w:eastAsia="Times New Roman"/>
          <w:bCs/>
          <w:iCs/>
          <w:sz w:val="22"/>
          <w:szCs w:val="22"/>
          <w:lang w:eastAsia="ja-JP"/>
        </w:rPr>
        <w:t>.</w:t>
      </w:r>
    </w:p>
    <w:p w14:paraId="3EE02597" w14:textId="6BFC26EC"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u w:val="single"/>
          <w:lang w:eastAsia="ja-JP"/>
        </w:rPr>
        <w:t>Independent Contractors</w:t>
      </w:r>
      <w:r w:rsidR="006F766F">
        <w:rPr>
          <w:rFonts w:eastAsia="Times New Roman"/>
          <w:bCs/>
          <w:iCs/>
          <w:sz w:val="22"/>
          <w:szCs w:val="22"/>
          <w:lang w:eastAsia="ja-JP"/>
        </w:rPr>
        <w:t xml:space="preserve">. </w:t>
      </w:r>
      <w:r w:rsidRPr="00A0256B">
        <w:rPr>
          <w:rFonts w:eastAsia="Times New Roman"/>
          <w:bCs/>
          <w:iCs/>
          <w:sz w:val="22"/>
          <w:szCs w:val="22"/>
          <w:lang w:eastAsia="ja-JP"/>
        </w:rPr>
        <w:t xml:space="preserve">Except with respect to the limited exception provided in Section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_Ref28258908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12.3</w:t>
      </w:r>
      <w:r w:rsidRPr="00A0256B">
        <w:rPr>
          <w:rFonts w:eastAsia="Times New Roman"/>
          <w:bCs/>
          <w:iCs/>
          <w:sz w:val="22"/>
          <w:szCs w:val="22"/>
          <w:lang w:eastAsia="ja-JP"/>
        </w:rPr>
        <w:fldChar w:fldCharType="end"/>
      </w:r>
      <w:r w:rsidRPr="00A0256B">
        <w:rPr>
          <w:rFonts w:eastAsia="Times New Roman"/>
          <w:bCs/>
          <w:iCs/>
          <w:sz w:val="22"/>
          <w:szCs w:val="22"/>
          <w:lang w:eastAsia="ja-JP"/>
        </w:rPr>
        <w:t xml:space="preserve"> above</w:t>
      </w:r>
      <w:r w:rsidRPr="001B0609">
        <w:rPr>
          <w:rFonts w:eastAsia="Times New Roman"/>
          <w:bCs/>
          <w:iCs/>
          <w:color w:val="000000"/>
          <w:sz w:val="22"/>
          <w:szCs w:val="22"/>
          <w:lang w:eastAsia="ja-JP"/>
        </w:rPr>
        <w:t xml:space="preserve">, </w:t>
      </w:r>
      <w:r w:rsidRPr="001B0609">
        <w:rPr>
          <w:rFonts w:eastAsia="Times New Roman"/>
          <w:iCs/>
          <w:color w:val="000000"/>
          <w:sz w:val="22"/>
          <w:szCs w:val="22"/>
          <w:shd w:val="clear" w:color="auto" w:fill="FFFFFF"/>
          <w:lang w:eastAsia="ja-JP"/>
        </w:rPr>
        <w:t xml:space="preserve">it is </w:t>
      </w:r>
      <w:r w:rsidRPr="001B0609">
        <w:rPr>
          <w:rFonts w:eastAsia="Times New Roman"/>
          <w:bCs/>
          <w:iCs/>
          <w:color w:val="000000"/>
          <w:sz w:val="22"/>
          <w:szCs w:val="22"/>
          <w:shd w:val="clear" w:color="auto" w:fill="FFFFFF"/>
          <w:lang w:eastAsia="ja-JP"/>
        </w:rPr>
        <w:t xml:space="preserve">expressly agreed that the </w:t>
      </w:r>
      <w:r w:rsidR="009862AD">
        <w:rPr>
          <w:rFonts w:eastAsia="Times New Roman"/>
          <w:bCs/>
          <w:iCs/>
          <w:color w:val="000000"/>
          <w:sz w:val="22"/>
          <w:szCs w:val="22"/>
          <w:shd w:val="clear" w:color="auto" w:fill="FFFFFF"/>
          <w:lang w:eastAsia="ja-JP"/>
        </w:rPr>
        <w:t>p</w:t>
      </w:r>
      <w:r w:rsidRPr="001B0609">
        <w:rPr>
          <w:rFonts w:eastAsia="Times New Roman"/>
          <w:bCs/>
          <w:iCs/>
          <w:color w:val="000000"/>
          <w:sz w:val="22"/>
          <w:szCs w:val="22"/>
          <w:shd w:val="clear" w:color="auto" w:fill="FFFFFF"/>
          <w:lang w:eastAsia="ja-JP"/>
        </w:rPr>
        <w:t xml:space="preserve">arties shall be independent contractors and that the relationship between the </w:t>
      </w:r>
      <w:r w:rsidR="009862AD">
        <w:rPr>
          <w:rFonts w:eastAsia="Times New Roman"/>
          <w:bCs/>
          <w:iCs/>
          <w:color w:val="000000"/>
          <w:sz w:val="22"/>
          <w:szCs w:val="22"/>
          <w:shd w:val="clear" w:color="auto" w:fill="FFFFFF"/>
          <w:lang w:eastAsia="ja-JP"/>
        </w:rPr>
        <w:t>p</w:t>
      </w:r>
      <w:r w:rsidRPr="001B0609">
        <w:rPr>
          <w:rFonts w:eastAsia="Times New Roman"/>
          <w:bCs/>
          <w:iCs/>
          <w:color w:val="000000"/>
          <w:sz w:val="22"/>
          <w:szCs w:val="22"/>
          <w:shd w:val="clear" w:color="auto" w:fill="FFFFFF"/>
          <w:lang w:eastAsia="ja-JP"/>
        </w:rPr>
        <w:t xml:space="preserve">arties shall not constitute a partnership, joint venture, or agency. Neither </w:t>
      </w:r>
      <w:r w:rsidR="009862AD">
        <w:rPr>
          <w:rFonts w:eastAsia="Times New Roman"/>
          <w:bCs/>
          <w:iCs/>
          <w:color w:val="000000"/>
          <w:sz w:val="22"/>
          <w:szCs w:val="22"/>
          <w:shd w:val="clear" w:color="auto" w:fill="FFFFFF"/>
          <w:lang w:eastAsia="ja-JP"/>
        </w:rPr>
        <w:t>p</w:t>
      </w:r>
      <w:r w:rsidRPr="001B0609">
        <w:rPr>
          <w:rFonts w:eastAsia="Times New Roman"/>
          <w:bCs/>
          <w:iCs/>
          <w:color w:val="000000"/>
          <w:sz w:val="22"/>
          <w:szCs w:val="22"/>
          <w:shd w:val="clear" w:color="auto" w:fill="FFFFFF"/>
          <w:lang w:eastAsia="ja-JP"/>
        </w:rPr>
        <w:t xml:space="preserve">arty shall have the authority to make any statements, </w:t>
      </w:r>
      <w:proofErr w:type="gramStart"/>
      <w:r w:rsidRPr="001B0609">
        <w:rPr>
          <w:rFonts w:eastAsia="Times New Roman"/>
          <w:bCs/>
          <w:iCs/>
          <w:color w:val="000000"/>
          <w:sz w:val="22"/>
          <w:szCs w:val="22"/>
          <w:shd w:val="clear" w:color="auto" w:fill="FFFFFF"/>
          <w:lang w:eastAsia="ja-JP"/>
        </w:rPr>
        <w:t>representations</w:t>
      </w:r>
      <w:proofErr w:type="gramEnd"/>
      <w:r w:rsidRPr="001B0609">
        <w:rPr>
          <w:rFonts w:eastAsia="Times New Roman"/>
          <w:bCs/>
          <w:iCs/>
          <w:color w:val="000000"/>
          <w:sz w:val="22"/>
          <w:szCs w:val="22"/>
          <w:shd w:val="clear" w:color="auto" w:fill="FFFFFF"/>
          <w:lang w:eastAsia="ja-JP"/>
        </w:rPr>
        <w:t xml:space="preserve"> or commitments of any kind, or to take any action, which shall be binding on the other </w:t>
      </w:r>
      <w:r w:rsidR="009862AD">
        <w:rPr>
          <w:rFonts w:eastAsia="Times New Roman"/>
          <w:bCs/>
          <w:iCs/>
          <w:color w:val="000000"/>
          <w:sz w:val="22"/>
          <w:szCs w:val="22"/>
          <w:shd w:val="clear" w:color="auto" w:fill="FFFFFF"/>
          <w:lang w:eastAsia="ja-JP"/>
        </w:rPr>
        <w:t>p</w:t>
      </w:r>
      <w:r w:rsidRPr="001B0609">
        <w:rPr>
          <w:rFonts w:eastAsia="Times New Roman"/>
          <w:bCs/>
          <w:iCs/>
          <w:color w:val="000000"/>
          <w:sz w:val="22"/>
          <w:szCs w:val="22"/>
          <w:shd w:val="clear" w:color="auto" w:fill="FFFFFF"/>
          <w:lang w:eastAsia="ja-JP"/>
        </w:rPr>
        <w:t xml:space="preserve">arty, without the prior consent of such other </w:t>
      </w:r>
      <w:r w:rsidR="009862AD">
        <w:rPr>
          <w:rFonts w:eastAsia="Times New Roman"/>
          <w:bCs/>
          <w:iCs/>
          <w:color w:val="000000"/>
          <w:sz w:val="22"/>
          <w:szCs w:val="22"/>
          <w:shd w:val="clear" w:color="auto" w:fill="FFFFFF"/>
          <w:lang w:eastAsia="ja-JP"/>
        </w:rPr>
        <w:t>p</w:t>
      </w:r>
      <w:r w:rsidRPr="001B0609">
        <w:rPr>
          <w:rFonts w:eastAsia="Times New Roman"/>
          <w:bCs/>
          <w:iCs/>
          <w:color w:val="000000"/>
          <w:sz w:val="22"/>
          <w:szCs w:val="22"/>
          <w:shd w:val="clear" w:color="auto" w:fill="FFFFFF"/>
          <w:lang w:eastAsia="ja-JP"/>
        </w:rPr>
        <w:t>arty.</w:t>
      </w:r>
    </w:p>
    <w:p w14:paraId="380EE181" w14:textId="77777777"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Either party may upon at least thirty (30) days' written notice to the other party:</w:t>
      </w:r>
    </w:p>
    <w:p w14:paraId="2DEDEEED" w14:textId="77777777" w:rsidR="00A0256B" w:rsidRPr="00A0256B" w:rsidRDefault="00A0256B" w:rsidP="00A0256B">
      <w:pPr>
        <w:numPr>
          <w:ilvl w:val="2"/>
          <w:numId w:val="12"/>
        </w:numPr>
        <w:spacing w:after="200"/>
        <w:outlineLvl w:val="2"/>
        <w:rPr>
          <w:rFonts w:eastAsia="Times New Roman"/>
          <w:b/>
          <w:bCs/>
          <w:sz w:val="22"/>
          <w:szCs w:val="20"/>
          <w:lang w:eastAsia="ja-JP"/>
        </w:rPr>
      </w:pPr>
      <w:bookmarkStart w:id="14" w:name="_Ref28258965"/>
      <w:r w:rsidRPr="00A0256B">
        <w:rPr>
          <w:rFonts w:eastAsia="Times New Roman"/>
          <w:bCs/>
          <w:sz w:val="22"/>
          <w:szCs w:val="20"/>
          <w:lang w:eastAsia="ja-JP"/>
        </w:rPr>
        <w:t xml:space="preserve">terminate the use of a given Appropriate Safeguard, to the extent required by any change in, or decision of a competent authority under, the Applicable Laws in favor of another Appropriate Safeguard for making Restricted Transfers, and the notified party hereby agrees that it will execute such documents or agreements as may be reasonably necessary to do so, and to reasonably assist the notifying party in perfecting the same Appropriate Safeguards with any of its </w:t>
      </w:r>
      <w:proofErr w:type="spellStart"/>
      <w:r w:rsidRPr="00A0256B">
        <w:rPr>
          <w:rFonts w:eastAsia="Times New Roman"/>
          <w:bCs/>
          <w:sz w:val="22"/>
          <w:szCs w:val="20"/>
          <w:lang w:eastAsia="ja-JP"/>
        </w:rPr>
        <w:t>Subprocessors</w:t>
      </w:r>
      <w:proofErr w:type="spellEnd"/>
      <w:r w:rsidRPr="00A0256B">
        <w:rPr>
          <w:rFonts w:eastAsia="Times New Roman"/>
          <w:bCs/>
          <w:sz w:val="22"/>
          <w:szCs w:val="20"/>
          <w:lang w:eastAsia="ja-JP"/>
        </w:rPr>
        <w:t>, if applicable; and</w:t>
      </w:r>
      <w:bookmarkEnd w:id="14"/>
    </w:p>
    <w:p w14:paraId="1BF3C481" w14:textId="08A326B1" w:rsidR="00A0256B" w:rsidRPr="00A0256B" w:rsidRDefault="00A0256B" w:rsidP="00A0256B">
      <w:pPr>
        <w:numPr>
          <w:ilvl w:val="2"/>
          <w:numId w:val="12"/>
        </w:numPr>
        <w:spacing w:after="200"/>
        <w:outlineLvl w:val="2"/>
        <w:rPr>
          <w:rFonts w:eastAsia="Times New Roman"/>
          <w:b/>
          <w:bCs/>
          <w:sz w:val="22"/>
          <w:szCs w:val="20"/>
          <w:lang w:eastAsia="ja-JP"/>
        </w:rPr>
      </w:pPr>
      <w:bookmarkStart w:id="15" w:name="_Ref28259120"/>
      <w:r w:rsidRPr="00A0256B">
        <w:rPr>
          <w:rFonts w:eastAsia="Times New Roman"/>
          <w:bCs/>
          <w:sz w:val="22"/>
          <w:szCs w:val="20"/>
          <w:lang w:eastAsia="ja-JP"/>
        </w:rPr>
        <w:t xml:space="preserve">propose any other variations to this </w:t>
      </w:r>
      <w:r w:rsidR="00B6084D">
        <w:rPr>
          <w:rFonts w:eastAsia="Times New Roman"/>
          <w:bCs/>
          <w:sz w:val="22"/>
          <w:szCs w:val="20"/>
          <w:lang w:eastAsia="ja-JP"/>
        </w:rPr>
        <w:t>Agreement</w:t>
      </w:r>
      <w:r w:rsidRPr="00A0256B">
        <w:rPr>
          <w:rFonts w:eastAsia="Times New Roman"/>
          <w:bCs/>
          <w:sz w:val="22"/>
          <w:szCs w:val="20"/>
          <w:lang w:eastAsia="ja-JP"/>
        </w:rPr>
        <w:t xml:space="preserve"> that the notifying party reasonably considers to be necessary to address the requirements of any Applicable Laws.</w:t>
      </w:r>
      <w:bookmarkEnd w:id="15"/>
      <w:r w:rsidR="00EC210E">
        <w:rPr>
          <w:rFonts w:eastAsia="Times New Roman"/>
          <w:bCs/>
          <w:sz w:val="22"/>
          <w:szCs w:val="20"/>
          <w:lang w:eastAsia="ja-JP"/>
        </w:rPr>
        <w:t xml:space="preserve">  </w:t>
      </w:r>
      <w:r w:rsidR="00EC210E">
        <w:rPr>
          <w:rFonts w:eastAsia="Times New Roman"/>
          <w:bCs/>
          <w:iCs/>
          <w:sz w:val="22"/>
          <w:szCs w:val="22"/>
          <w:lang w:eastAsia="ja-JP"/>
        </w:rPr>
        <w:t>T</w:t>
      </w:r>
      <w:r w:rsidR="00EC210E" w:rsidRPr="00E44A45">
        <w:rPr>
          <w:rFonts w:eastAsia="Times New Roman"/>
          <w:bCs/>
          <w:iCs/>
          <w:sz w:val="22"/>
          <w:szCs w:val="22"/>
          <w:lang w:eastAsia="ja-JP"/>
        </w:rPr>
        <w:t>he parties shall promptly discuss the proposed variations and negotiate in good faith with a view to agreeing and implementing those or alternative variations designed to address the requirements identified in Company's notice as soon as is reasonably practicable.</w:t>
      </w:r>
    </w:p>
    <w:p w14:paraId="71C64A7F" w14:textId="7187AB50" w:rsidR="00A0256B" w:rsidRPr="00A0256B" w:rsidRDefault="00A0256B" w:rsidP="00A0256B">
      <w:pPr>
        <w:numPr>
          <w:ilvl w:val="1"/>
          <w:numId w:val="12"/>
        </w:numPr>
        <w:spacing w:after="200"/>
        <w:outlineLvl w:val="1"/>
        <w:rPr>
          <w:rFonts w:eastAsia="Times New Roman"/>
          <w:bCs/>
          <w:iCs/>
          <w:sz w:val="22"/>
          <w:szCs w:val="22"/>
          <w:lang w:eastAsia="ja-JP"/>
        </w:rPr>
      </w:pPr>
      <w:r w:rsidRPr="00A0256B">
        <w:rPr>
          <w:rFonts w:eastAsia="Times New Roman"/>
          <w:bCs/>
          <w:iCs/>
          <w:sz w:val="22"/>
          <w:szCs w:val="22"/>
          <w:lang w:eastAsia="ja-JP"/>
        </w:rPr>
        <w:t xml:space="preserve">If Company gives notice under Section </w:t>
      </w:r>
      <w:r w:rsidRPr="00A0256B">
        <w:rPr>
          <w:rFonts w:eastAsia="Times New Roman"/>
          <w:bCs/>
          <w:iCs/>
          <w:sz w:val="22"/>
          <w:szCs w:val="22"/>
          <w:lang w:eastAsia="ja-JP"/>
        </w:rPr>
        <w:fldChar w:fldCharType="begin"/>
      </w:r>
      <w:r w:rsidRPr="00A0256B">
        <w:rPr>
          <w:rFonts w:eastAsia="Times New Roman"/>
          <w:bCs/>
          <w:iCs/>
          <w:sz w:val="22"/>
          <w:szCs w:val="22"/>
          <w:lang w:eastAsia="ja-JP"/>
        </w:rPr>
        <w:instrText xml:space="preserve"> REF _Ref28258965 \r \h </w:instrText>
      </w:r>
      <w:r w:rsidRPr="00A0256B">
        <w:rPr>
          <w:rFonts w:eastAsia="Times New Roman"/>
          <w:bCs/>
          <w:iCs/>
          <w:sz w:val="22"/>
          <w:szCs w:val="22"/>
          <w:lang w:eastAsia="ja-JP"/>
        </w:rPr>
      </w:r>
      <w:r w:rsidRPr="00A0256B">
        <w:rPr>
          <w:rFonts w:eastAsia="Times New Roman"/>
          <w:bCs/>
          <w:iCs/>
          <w:sz w:val="22"/>
          <w:szCs w:val="22"/>
          <w:lang w:eastAsia="ja-JP"/>
        </w:rPr>
        <w:fldChar w:fldCharType="separate"/>
      </w:r>
      <w:r w:rsidR="00FD7D56">
        <w:rPr>
          <w:rFonts w:eastAsia="Times New Roman"/>
          <w:bCs/>
          <w:iCs/>
          <w:sz w:val="22"/>
          <w:szCs w:val="22"/>
          <w:lang w:eastAsia="ja-JP"/>
        </w:rPr>
        <w:t>16.4.1</w:t>
      </w:r>
      <w:r w:rsidRPr="00A0256B">
        <w:rPr>
          <w:rFonts w:eastAsia="Times New Roman"/>
          <w:bCs/>
          <w:iCs/>
          <w:sz w:val="22"/>
          <w:szCs w:val="22"/>
          <w:lang w:eastAsia="ja-JP"/>
        </w:rPr>
        <w:fldChar w:fldCharType="end"/>
      </w:r>
      <w:r w:rsidRPr="00A0256B">
        <w:rPr>
          <w:rFonts w:eastAsia="Times New Roman"/>
          <w:bCs/>
          <w:iCs/>
          <w:sz w:val="22"/>
          <w:szCs w:val="22"/>
          <w:lang w:eastAsia="ja-JP"/>
        </w:rPr>
        <w:t>:</w:t>
      </w:r>
    </w:p>
    <w:p w14:paraId="5F24EED5" w14:textId="08A2E3DE" w:rsidR="00A0256B" w:rsidRPr="00A0256B" w:rsidRDefault="00A0256B" w:rsidP="00A0256B">
      <w:pPr>
        <w:numPr>
          <w:ilvl w:val="2"/>
          <w:numId w:val="12"/>
        </w:numPr>
        <w:spacing w:after="200"/>
        <w:outlineLvl w:val="2"/>
        <w:rPr>
          <w:rFonts w:eastAsia="Times New Roman"/>
          <w:b/>
          <w:bCs/>
          <w:sz w:val="22"/>
          <w:szCs w:val="20"/>
          <w:lang w:eastAsia="ja-JP"/>
        </w:rPr>
      </w:pPr>
      <w:r w:rsidRPr="00A0256B">
        <w:rPr>
          <w:rFonts w:eastAsia="Times New Roman"/>
          <w:bCs/>
          <w:sz w:val="22"/>
          <w:szCs w:val="20"/>
          <w:lang w:eastAsia="ja-JP"/>
        </w:rPr>
        <w:t xml:space="preserve">the Contracted Vendor shall reasonably co-operate (and ensure that any affected </w:t>
      </w:r>
      <w:proofErr w:type="spellStart"/>
      <w:r w:rsidRPr="00A0256B">
        <w:rPr>
          <w:rFonts w:eastAsia="Times New Roman"/>
          <w:bCs/>
          <w:sz w:val="22"/>
          <w:szCs w:val="20"/>
          <w:lang w:eastAsia="ja-JP"/>
        </w:rPr>
        <w:t>Subprocessors</w:t>
      </w:r>
      <w:proofErr w:type="spellEnd"/>
      <w:r w:rsidRPr="00A0256B">
        <w:rPr>
          <w:rFonts w:eastAsia="Times New Roman"/>
          <w:bCs/>
          <w:sz w:val="22"/>
          <w:szCs w:val="20"/>
          <w:lang w:eastAsia="ja-JP"/>
        </w:rPr>
        <w:t xml:space="preserve"> promptly co-operate, if applicable) to ensure that equivalent variations are made to any agreement put in place under Section </w:t>
      </w:r>
      <w:r w:rsidRPr="00A0256B">
        <w:rPr>
          <w:rFonts w:eastAsia="Times New Roman"/>
          <w:bCs/>
          <w:sz w:val="22"/>
          <w:szCs w:val="20"/>
          <w:lang w:eastAsia="ja-JP"/>
        </w:rPr>
        <w:fldChar w:fldCharType="begin"/>
      </w:r>
      <w:r w:rsidRPr="00A0256B">
        <w:rPr>
          <w:rFonts w:eastAsia="Times New Roman"/>
          <w:bCs/>
          <w:sz w:val="22"/>
          <w:szCs w:val="20"/>
          <w:lang w:eastAsia="ja-JP"/>
        </w:rPr>
        <w:instrText xml:space="preserve"> REF _Ref28259077 \r \h </w:instrText>
      </w:r>
      <w:r w:rsidRPr="00A0256B">
        <w:rPr>
          <w:rFonts w:eastAsia="Times New Roman"/>
          <w:bCs/>
          <w:sz w:val="22"/>
          <w:szCs w:val="20"/>
          <w:lang w:eastAsia="ja-JP"/>
        </w:rPr>
      </w:r>
      <w:r w:rsidRPr="00A0256B">
        <w:rPr>
          <w:rFonts w:eastAsia="Times New Roman"/>
          <w:bCs/>
          <w:sz w:val="22"/>
          <w:szCs w:val="20"/>
          <w:lang w:eastAsia="ja-JP"/>
        </w:rPr>
        <w:fldChar w:fldCharType="separate"/>
      </w:r>
      <w:r w:rsidR="00FD7D56">
        <w:rPr>
          <w:rFonts w:eastAsia="Times New Roman"/>
          <w:bCs/>
          <w:sz w:val="22"/>
          <w:szCs w:val="20"/>
          <w:lang w:eastAsia="ja-JP"/>
        </w:rPr>
        <w:t>6.3.2</w:t>
      </w:r>
      <w:r w:rsidRPr="00A0256B">
        <w:rPr>
          <w:rFonts w:eastAsia="Times New Roman"/>
          <w:bCs/>
          <w:sz w:val="22"/>
          <w:szCs w:val="20"/>
          <w:lang w:eastAsia="ja-JP"/>
        </w:rPr>
        <w:fldChar w:fldCharType="end"/>
      </w:r>
      <w:r w:rsidRPr="00A0256B">
        <w:rPr>
          <w:rFonts w:eastAsia="Times New Roman"/>
          <w:bCs/>
          <w:sz w:val="22"/>
          <w:szCs w:val="20"/>
          <w:lang w:eastAsia="ja-JP"/>
        </w:rPr>
        <w:t>; and</w:t>
      </w:r>
    </w:p>
    <w:p w14:paraId="607CB637" w14:textId="448EAF14" w:rsidR="00EF0EF3" w:rsidRPr="00EC210E" w:rsidRDefault="00A0256B" w:rsidP="00EC210E">
      <w:pPr>
        <w:numPr>
          <w:ilvl w:val="2"/>
          <w:numId w:val="12"/>
        </w:numPr>
        <w:spacing w:after="200"/>
        <w:outlineLvl w:val="2"/>
        <w:rPr>
          <w:rFonts w:eastAsia="Times New Roman"/>
          <w:bCs/>
          <w:sz w:val="22"/>
          <w:szCs w:val="20"/>
          <w:lang w:eastAsia="ja-JP"/>
        </w:rPr>
      </w:pPr>
      <w:r w:rsidRPr="00A0256B">
        <w:rPr>
          <w:rFonts w:eastAsia="Times New Roman"/>
          <w:bCs/>
          <w:sz w:val="22"/>
          <w:szCs w:val="20"/>
          <w:lang w:eastAsia="ja-JP"/>
        </w:rPr>
        <w:t xml:space="preserve">Company shall not unreasonably withhold, condition, or delay agreement to any variations to this </w:t>
      </w:r>
      <w:r w:rsidR="00B6084D">
        <w:rPr>
          <w:rFonts w:eastAsia="Times New Roman"/>
          <w:bCs/>
          <w:sz w:val="22"/>
          <w:szCs w:val="20"/>
          <w:lang w:eastAsia="ja-JP"/>
        </w:rPr>
        <w:t>Agreement</w:t>
      </w:r>
      <w:r w:rsidRPr="00A0256B">
        <w:rPr>
          <w:rFonts w:eastAsia="Times New Roman"/>
          <w:bCs/>
          <w:sz w:val="22"/>
          <w:szCs w:val="20"/>
          <w:lang w:eastAsia="ja-JP"/>
        </w:rPr>
        <w:t xml:space="preserve"> proposed by Vendor to protect the Contracted Vendor against additional risks associated with the variations made under Section </w:t>
      </w:r>
      <w:r w:rsidRPr="00A0256B">
        <w:rPr>
          <w:rFonts w:eastAsia="Times New Roman"/>
          <w:bCs/>
          <w:sz w:val="22"/>
          <w:szCs w:val="20"/>
          <w:lang w:eastAsia="ja-JP"/>
        </w:rPr>
        <w:fldChar w:fldCharType="begin"/>
      </w:r>
      <w:r w:rsidRPr="00A0256B">
        <w:rPr>
          <w:rFonts w:eastAsia="Times New Roman"/>
          <w:bCs/>
          <w:sz w:val="22"/>
          <w:szCs w:val="20"/>
          <w:lang w:eastAsia="ja-JP"/>
        </w:rPr>
        <w:instrText xml:space="preserve"> REF _Ref28258965 \r \h </w:instrText>
      </w:r>
      <w:r w:rsidRPr="00A0256B">
        <w:rPr>
          <w:rFonts w:eastAsia="Times New Roman"/>
          <w:bCs/>
          <w:sz w:val="22"/>
          <w:szCs w:val="20"/>
          <w:lang w:eastAsia="ja-JP"/>
        </w:rPr>
      </w:r>
      <w:r w:rsidRPr="00A0256B">
        <w:rPr>
          <w:rFonts w:eastAsia="Times New Roman"/>
          <w:bCs/>
          <w:sz w:val="22"/>
          <w:szCs w:val="20"/>
          <w:lang w:eastAsia="ja-JP"/>
        </w:rPr>
        <w:fldChar w:fldCharType="separate"/>
      </w:r>
      <w:r w:rsidR="00FD7D56">
        <w:rPr>
          <w:rFonts w:eastAsia="Times New Roman"/>
          <w:bCs/>
          <w:sz w:val="22"/>
          <w:szCs w:val="20"/>
          <w:lang w:eastAsia="ja-JP"/>
        </w:rPr>
        <w:t>16.4.1</w:t>
      </w:r>
      <w:r w:rsidRPr="00A0256B">
        <w:rPr>
          <w:rFonts w:eastAsia="Times New Roman"/>
          <w:bCs/>
          <w:sz w:val="22"/>
          <w:szCs w:val="20"/>
          <w:lang w:eastAsia="ja-JP"/>
        </w:rPr>
        <w:fldChar w:fldCharType="end"/>
      </w:r>
      <w:r w:rsidRPr="00A0256B">
        <w:rPr>
          <w:rFonts w:eastAsia="Times New Roman"/>
          <w:bCs/>
          <w:sz w:val="22"/>
          <w:szCs w:val="20"/>
          <w:lang w:eastAsia="ja-JP"/>
        </w:rPr>
        <w:t xml:space="preserve"> and/or </w:t>
      </w:r>
      <w:r w:rsidRPr="00A0256B">
        <w:rPr>
          <w:rFonts w:eastAsia="Times New Roman"/>
          <w:bCs/>
          <w:sz w:val="22"/>
          <w:szCs w:val="20"/>
          <w:lang w:eastAsia="ja-JP"/>
        </w:rPr>
        <w:fldChar w:fldCharType="begin"/>
      </w:r>
      <w:r w:rsidRPr="00A0256B">
        <w:rPr>
          <w:rFonts w:eastAsia="Times New Roman"/>
          <w:bCs/>
          <w:sz w:val="22"/>
          <w:szCs w:val="20"/>
          <w:lang w:eastAsia="ja-JP"/>
        </w:rPr>
        <w:instrText xml:space="preserve"> REF _Ref28259120 \r \h </w:instrText>
      </w:r>
      <w:r w:rsidRPr="00A0256B">
        <w:rPr>
          <w:rFonts w:eastAsia="Times New Roman"/>
          <w:bCs/>
          <w:sz w:val="22"/>
          <w:szCs w:val="20"/>
          <w:lang w:eastAsia="ja-JP"/>
        </w:rPr>
      </w:r>
      <w:r w:rsidRPr="00A0256B">
        <w:rPr>
          <w:rFonts w:eastAsia="Times New Roman"/>
          <w:bCs/>
          <w:sz w:val="22"/>
          <w:szCs w:val="20"/>
          <w:lang w:eastAsia="ja-JP"/>
        </w:rPr>
        <w:fldChar w:fldCharType="separate"/>
      </w:r>
      <w:r w:rsidR="00FD7D56">
        <w:rPr>
          <w:rFonts w:eastAsia="Times New Roman"/>
          <w:bCs/>
          <w:sz w:val="22"/>
          <w:szCs w:val="20"/>
          <w:lang w:eastAsia="ja-JP"/>
        </w:rPr>
        <w:t>16.4.2</w:t>
      </w:r>
      <w:r w:rsidRPr="00A0256B">
        <w:rPr>
          <w:rFonts w:eastAsia="Times New Roman"/>
          <w:bCs/>
          <w:sz w:val="22"/>
          <w:szCs w:val="20"/>
          <w:lang w:eastAsia="ja-JP"/>
        </w:rPr>
        <w:fldChar w:fldCharType="end"/>
      </w:r>
      <w:r w:rsidRPr="00A0256B">
        <w:rPr>
          <w:rFonts w:eastAsia="Times New Roman"/>
          <w:bCs/>
          <w:sz w:val="22"/>
          <w:szCs w:val="20"/>
          <w:lang w:eastAsia="ja-JP"/>
        </w:rPr>
        <w:t>.</w:t>
      </w:r>
    </w:p>
    <w:p w14:paraId="76D7FD5A" w14:textId="6D2C887B" w:rsidR="00A0256B" w:rsidRPr="00C0637D" w:rsidRDefault="008D6EAC" w:rsidP="00C0637D">
      <w:pPr>
        <w:numPr>
          <w:ilvl w:val="1"/>
          <w:numId w:val="12"/>
        </w:numPr>
        <w:spacing w:after="200"/>
        <w:outlineLvl w:val="1"/>
        <w:rPr>
          <w:rFonts w:eastAsia="Times New Roman"/>
          <w:bCs/>
          <w:iCs/>
          <w:sz w:val="22"/>
          <w:szCs w:val="22"/>
          <w:lang w:eastAsia="ja-JP"/>
        </w:rPr>
      </w:pPr>
      <w:bookmarkStart w:id="16" w:name="_Ref54697996"/>
      <w:r w:rsidRPr="005464DA">
        <w:rPr>
          <w:rFonts w:eastAsia="Times New Roman"/>
          <w:bCs/>
          <w:iCs/>
          <w:sz w:val="22"/>
          <w:szCs w:val="22"/>
          <w:u w:val="single"/>
          <w:lang w:eastAsia="ja-JP"/>
        </w:rPr>
        <w:t>Notice</w:t>
      </w:r>
      <w:r w:rsidR="005464DA">
        <w:rPr>
          <w:rFonts w:eastAsia="Times New Roman"/>
          <w:bCs/>
          <w:iCs/>
          <w:sz w:val="22"/>
          <w:szCs w:val="22"/>
          <w:lang w:eastAsia="ja-JP"/>
        </w:rPr>
        <w:t xml:space="preserve">. </w:t>
      </w:r>
      <w:r w:rsidR="005464DA" w:rsidRPr="005464DA">
        <w:rPr>
          <w:rFonts w:eastAsia="Times New Roman"/>
          <w:bCs/>
          <w:iCs/>
          <w:sz w:val="22"/>
          <w:szCs w:val="22"/>
          <w:lang w:eastAsia="ja-JP"/>
        </w:rPr>
        <w:t xml:space="preserve">For purposes of all formal notices required to be given hereunder, the addresses of the </w:t>
      </w:r>
      <w:r w:rsidR="005464DA">
        <w:rPr>
          <w:rFonts w:eastAsia="Times New Roman"/>
          <w:bCs/>
          <w:iCs/>
          <w:sz w:val="22"/>
          <w:szCs w:val="22"/>
          <w:lang w:eastAsia="ja-JP"/>
        </w:rPr>
        <w:t>p</w:t>
      </w:r>
      <w:r w:rsidR="005464DA" w:rsidRPr="005464DA">
        <w:rPr>
          <w:rFonts w:eastAsia="Times New Roman"/>
          <w:bCs/>
          <w:iCs/>
          <w:sz w:val="22"/>
          <w:szCs w:val="22"/>
          <w:lang w:eastAsia="ja-JP"/>
        </w:rPr>
        <w:t xml:space="preserve">arties hereto shall be as indicated below. All notices shall be in writing and shall be deemed to have been duly given on the date received if sent by first class registered or certified mail </w:t>
      </w:r>
      <w:r w:rsidR="005464DA" w:rsidRPr="005464DA">
        <w:rPr>
          <w:rFonts w:eastAsia="Times New Roman"/>
          <w:bCs/>
          <w:iCs/>
          <w:sz w:val="22"/>
          <w:szCs w:val="22"/>
          <w:lang w:eastAsia="ja-JP"/>
        </w:rPr>
        <w:lastRenderedPageBreak/>
        <w:t>or its equivalent, return receipt requested, or overnight delivery service</w:t>
      </w:r>
      <w:r w:rsidR="00C0637D">
        <w:rPr>
          <w:rFonts w:eastAsia="Times New Roman"/>
          <w:bCs/>
          <w:iCs/>
          <w:sz w:val="22"/>
          <w:szCs w:val="22"/>
          <w:lang w:eastAsia="ja-JP"/>
        </w:rPr>
        <w:t xml:space="preserve">.  All notices shall </w:t>
      </w:r>
      <w:proofErr w:type="gramStart"/>
      <w:r w:rsidR="00C0637D">
        <w:rPr>
          <w:rFonts w:eastAsia="Times New Roman"/>
          <w:bCs/>
          <w:iCs/>
          <w:sz w:val="22"/>
          <w:szCs w:val="22"/>
          <w:lang w:eastAsia="ja-JP"/>
        </w:rPr>
        <w:t xml:space="preserve">be </w:t>
      </w:r>
      <w:r w:rsidR="005464DA" w:rsidRPr="005464DA">
        <w:rPr>
          <w:rFonts w:eastAsia="Times New Roman"/>
          <w:bCs/>
          <w:iCs/>
          <w:sz w:val="22"/>
          <w:szCs w:val="22"/>
          <w:lang w:eastAsia="ja-JP"/>
        </w:rPr>
        <w:t xml:space="preserve"> addressed</w:t>
      </w:r>
      <w:proofErr w:type="gramEnd"/>
      <w:r w:rsidR="005464DA" w:rsidRPr="005464DA">
        <w:rPr>
          <w:rFonts w:eastAsia="Times New Roman"/>
          <w:bCs/>
          <w:iCs/>
          <w:sz w:val="22"/>
          <w:szCs w:val="22"/>
          <w:lang w:eastAsia="ja-JP"/>
        </w:rPr>
        <w:t xml:space="preserve"> to the</w:t>
      </w:r>
      <w:r w:rsidR="00C0637D">
        <w:rPr>
          <w:rFonts w:eastAsia="Times New Roman"/>
          <w:bCs/>
          <w:iCs/>
          <w:sz w:val="22"/>
          <w:szCs w:val="22"/>
          <w:lang w:eastAsia="ja-JP"/>
        </w:rPr>
        <w:t xml:space="preserve"> attention of the</w:t>
      </w:r>
      <w:r w:rsidR="005464DA" w:rsidRPr="005464DA">
        <w:rPr>
          <w:rFonts w:eastAsia="Times New Roman"/>
          <w:bCs/>
          <w:iCs/>
          <w:sz w:val="22"/>
          <w:szCs w:val="22"/>
          <w:lang w:eastAsia="ja-JP"/>
        </w:rPr>
        <w:t xml:space="preserve"> </w:t>
      </w:r>
      <w:r w:rsidR="00CF7A4E">
        <w:rPr>
          <w:rFonts w:eastAsia="Times New Roman"/>
          <w:bCs/>
          <w:iCs/>
          <w:sz w:val="22"/>
          <w:szCs w:val="22"/>
          <w:lang w:eastAsia="ja-JP"/>
        </w:rPr>
        <w:t xml:space="preserve">signatories of </w:t>
      </w:r>
      <w:r w:rsidR="009862AD">
        <w:rPr>
          <w:rFonts w:eastAsia="Times New Roman"/>
          <w:bCs/>
          <w:iCs/>
          <w:sz w:val="22"/>
          <w:szCs w:val="22"/>
          <w:lang w:eastAsia="ja-JP"/>
        </w:rPr>
        <w:t>p</w:t>
      </w:r>
      <w:r w:rsidR="005464DA" w:rsidRPr="005464DA">
        <w:rPr>
          <w:rFonts w:eastAsia="Times New Roman"/>
          <w:bCs/>
          <w:iCs/>
          <w:sz w:val="22"/>
          <w:szCs w:val="22"/>
          <w:lang w:eastAsia="ja-JP"/>
        </w:rPr>
        <w:t xml:space="preserve">arties </w:t>
      </w:r>
      <w:r w:rsidR="00CF7A4E">
        <w:rPr>
          <w:rFonts w:eastAsia="Times New Roman"/>
          <w:bCs/>
          <w:iCs/>
          <w:sz w:val="22"/>
          <w:szCs w:val="22"/>
          <w:lang w:eastAsia="ja-JP"/>
        </w:rPr>
        <w:t xml:space="preserve">below </w:t>
      </w:r>
      <w:r w:rsidR="005464DA" w:rsidRPr="005464DA">
        <w:rPr>
          <w:rFonts w:eastAsia="Times New Roman"/>
          <w:bCs/>
          <w:iCs/>
          <w:sz w:val="22"/>
          <w:szCs w:val="22"/>
          <w:lang w:eastAsia="ja-JP"/>
        </w:rPr>
        <w:t xml:space="preserve">at their </w:t>
      </w:r>
      <w:r w:rsidR="00CF7A4E">
        <w:rPr>
          <w:rFonts w:eastAsia="Times New Roman"/>
          <w:bCs/>
          <w:iCs/>
          <w:sz w:val="22"/>
          <w:szCs w:val="22"/>
          <w:lang w:eastAsia="ja-JP"/>
        </w:rPr>
        <w:t xml:space="preserve">respective </w:t>
      </w:r>
      <w:r w:rsidR="005464DA" w:rsidRPr="005464DA">
        <w:rPr>
          <w:rFonts w:eastAsia="Times New Roman"/>
          <w:bCs/>
          <w:iCs/>
          <w:sz w:val="22"/>
          <w:szCs w:val="22"/>
          <w:lang w:eastAsia="ja-JP"/>
        </w:rPr>
        <w:t>addresses</w:t>
      </w:r>
      <w:r w:rsidR="00C0637D">
        <w:rPr>
          <w:rFonts w:eastAsia="Times New Roman"/>
          <w:bCs/>
          <w:iCs/>
          <w:sz w:val="22"/>
          <w:szCs w:val="22"/>
          <w:lang w:eastAsia="ja-JP"/>
        </w:rPr>
        <w:t xml:space="preserve"> as first</w:t>
      </w:r>
      <w:r w:rsidR="005464DA" w:rsidRPr="005464DA">
        <w:rPr>
          <w:rFonts w:eastAsia="Times New Roman"/>
          <w:bCs/>
          <w:iCs/>
          <w:sz w:val="22"/>
          <w:szCs w:val="22"/>
          <w:lang w:eastAsia="ja-JP"/>
        </w:rPr>
        <w:t xml:space="preserve"> set forth </w:t>
      </w:r>
      <w:r w:rsidR="00CF7A4E">
        <w:rPr>
          <w:rFonts w:eastAsia="Times New Roman"/>
          <w:bCs/>
          <w:iCs/>
          <w:sz w:val="22"/>
          <w:szCs w:val="22"/>
          <w:lang w:eastAsia="ja-JP"/>
        </w:rPr>
        <w:t>above.</w:t>
      </w:r>
      <w:bookmarkEnd w:id="16"/>
    </w:p>
    <w:p w14:paraId="0F0B55A3" w14:textId="77777777" w:rsidR="005464DA" w:rsidRDefault="005464DA" w:rsidP="005464DA">
      <w:pPr>
        <w:numPr>
          <w:ilvl w:val="1"/>
          <w:numId w:val="12"/>
        </w:numPr>
        <w:spacing w:after="200"/>
        <w:outlineLvl w:val="1"/>
        <w:rPr>
          <w:rFonts w:eastAsia="Times New Roman"/>
          <w:bCs/>
          <w:iCs/>
          <w:sz w:val="22"/>
          <w:szCs w:val="22"/>
          <w:lang w:eastAsia="ja-JP"/>
        </w:rPr>
      </w:pPr>
      <w:r w:rsidRPr="005464DA">
        <w:rPr>
          <w:rFonts w:eastAsia="Times New Roman"/>
          <w:bCs/>
          <w:iCs/>
          <w:sz w:val="22"/>
          <w:szCs w:val="22"/>
          <w:u w:val="single"/>
          <w:lang w:eastAsia="ja-JP"/>
        </w:rPr>
        <w:t>Severability</w:t>
      </w:r>
      <w:r>
        <w:rPr>
          <w:rFonts w:eastAsia="Times New Roman"/>
          <w:bCs/>
          <w:iCs/>
          <w:sz w:val="22"/>
          <w:szCs w:val="22"/>
          <w:lang w:eastAsia="ja-JP"/>
        </w:rPr>
        <w:t xml:space="preserve">. </w:t>
      </w:r>
      <w:r w:rsidR="00A0256B" w:rsidRPr="00A0256B">
        <w:rPr>
          <w:rFonts w:eastAsia="Times New Roman"/>
          <w:bCs/>
          <w:iCs/>
          <w:sz w:val="22"/>
          <w:szCs w:val="22"/>
          <w:lang w:eastAsia="ja-JP"/>
        </w:rPr>
        <w:t xml:space="preserve">Should any provision of this </w:t>
      </w:r>
      <w:r w:rsidR="00B6084D">
        <w:rPr>
          <w:rFonts w:eastAsia="Times New Roman"/>
          <w:bCs/>
          <w:iCs/>
          <w:sz w:val="22"/>
          <w:szCs w:val="22"/>
          <w:lang w:eastAsia="ja-JP"/>
        </w:rPr>
        <w:t>Agreement</w:t>
      </w:r>
      <w:r w:rsidR="00A0256B" w:rsidRPr="00A0256B">
        <w:rPr>
          <w:rFonts w:eastAsia="Times New Roman"/>
          <w:bCs/>
          <w:iCs/>
          <w:sz w:val="22"/>
          <w:szCs w:val="22"/>
          <w:lang w:eastAsia="ja-JP"/>
        </w:rPr>
        <w:t xml:space="preserve"> be invalid or unenforceable, then the remainder of this </w:t>
      </w:r>
      <w:r w:rsidR="00B6084D">
        <w:rPr>
          <w:rFonts w:eastAsia="Times New Roman"/>
          <w:bCs/>
          <w:iCs/>
          <w:sz w:val="22"/>
          <w:szCs w:val="22"/>
          <w:lang w:eastAsia="ja-JP"/>
        </w:rPr>
        <w:t>Agreement</w:t>
      </w:r>
      <w:r w:rsidR="00A0256B" w:rsidRPr="00A0256B">
        <w:rPr>
          <w:rFonts w:eastAsia="Times New Roman"/>
          <w:bCs/>
          <w:iCs/>
          <w:sz w:val="22"/>
          <w:szCs w:val="22"/>
          <w:lang w:eastAsia="ja-JP"/>
        </w:rPr>
        <w:t xml:space="preserve"> shall remain valid and in force. The invalid or unenforceable provision shall be either (</w:t>
      </w:r>
      <w:proofErr w:type="spellStart"/>
      <w:r w:rsidR="00A0256B" w:rsidRPr="00A0256B">
        <w:rPr>
          <w:rFonts w:eastAsia="Times New Roman"/>
          <w:bCs/>
          <w:iCs/>
          <w:sz w:val="22"/>
          <w:szCs w:val="22"/>
          <w:lang w:eastAsia="ja-JP"/>
        </w:rPr>
        <w:t>i</w:t>
      </w:r>
      <w:proofErr w:type="spellEnd"/>
      <w:r w:rsidR="00A0256B" w:rsidRPr="00A0256B">
        <w:rPr>
          <w:rFonts w:eastAsia="Times New Roman"/>
          <w:bCs/>
          <w:iCs/>
          <w:sz w:val="22"/>
          <w:szCs w:val="22"/>
          <w:lang w:eastAsia="ja-JP"/>
        </w:rPr>
        <w:t>) amended as necessary to make it valid and enforceable, while preserving the parties’ intentions as closely as possible or, if this is not possible, (ii) construed in a manner as if the invalid or unenforceable part had never been contained therein.</w:t>
      </w:r>
    </w:p>
    <w:p w14:paraId="5128F737" w14:textId="535FF40B" w:rsidR="005464DA" w:rsidRPr="005464DA" w:rsidRDefault="005464DA" w:rsidP="005464DA">
      <w:pPr>
        <w:numPr>
          <w:ilvl w:val="1"/>
          <w:numId w:val="12"/>
        </w:numPr>
        <w:spacing w:after="200"/>
        <w:outlineLvl w:val="1"/>
        <w:rPr>
          <w:rFonts w:eastAsia="Times New Roman"/>
          <w:bCs/>
          <w:iCs/>
          <w:sz w:val="22"/>
          <w:szCs w:val="22"/>
          <w:lang w:eastAsia="ja-JP"/>
        </w:rPr>
      </w:pPr>
      <w:r w:rsidRPr="005464DA">
        <w:rPr>
          <w:rStyle w:val="Emphasis"/>
          <w:i w:val="0"/>
          <w:sz w:val="22"/>
          <w:szCs w:val="22"/>
          <w:u w:val="single"/>
        </w:rPr>
        <w:t>Assignment</w:t>
      </w:r>
      <w:r w:rsidRPr="005464DA">
        <w:rPr>
          <w:rStyle w:val="Emphasis"/>
          <w:i w:val="0"/>
          <w:sz w:val="22"/>
          <w:szCs w:val="22"/>
        </w:rPr>
        <w:t>.</w:t>
      </w:r>
      <w:r w:rsidRPr="005464DA">
        <w:rPr>
          <w:sz w:val="22"/>
          <w:szCs w:val="22"/>
        </w:rPr>
        <w:t xml:space="preserve"> Except as otherwise expressly permitted in this Agreement, neither </w:t>
      </w:r>
      <w:r w:rsidR="009862AD">
        <w:rPr>
          <w:sz w:val="22"/>
          <w:szCs w:val="22"/>
        </w:rPr>
        <w:t>p</w:t>
      </w:r>
      <w:r w:rsidRPr="005464DA">
        <w:rPr>
          <w:sz w:val="22"/>
          <w:szCs w:val="22"/>
        </w:rPr>
        <w:t xml:space="preserve">arty may sell, transfer, or assign its rights and duties under this Agreement without the prior written consent of the other </w:t>
      </w:r>
      <w:r w:rsidR="009862AD">
        <w:rPr>
          <w:sz w:val="22"/>
          <w:szCs w:val="22"/>
        </w:rPr>
        <w:t>p</w:t>
      </w:r>
      <w:r w:rsidRPr="005464DA">
        <w:rPr>
          <w:sz w:val="22"/>
          <w:szCs w:val="22"/>
        </w:rPr>
        <w:t xml:space="preserve">arty. Any impermissible assignment or transfer shall be null and void. Notwithstanding the foregoing, either </w:t>
      </w:r>
      <w:r w:rsidR="009862AD">
        <w:rPr>
          <w:sz w:val="22"/>
          <w:szCs w:val="22"/>
        </w:rPr>
        <w:t>p</w:t>
      </w:r>
      <w:r w:rsidRPr="005464DA">
        <w:rPr>
          <w:sz w:val="22"/>
          <w:szCs w:val="22"/>
        </w:rPr>
        <w:t xml:space="preserve">arty may assign its duties and obligations under this Agreement in connection with an acquisition, merger, reorganization, </w:t>
      </w:r>
      <w:proofErr w:type="gramStart"/>
      <w:r w:rsidRPr="005464DA">
        <w:rPr>
          <w:sz w:val="22"/>
          <w:szCs w:val="22"/>
        </w:rPr>
        <w:t>recapitalization</w:t>
      </w:r>
      <w:proofErr w:type="gramEnd"/>
      <w:r w:rsidRPr="005464DA">
        <w:rPr>
          <w:sz w:val="22"/>
          <w:szCs w:val="22"/>
        </w:rPr>
        <w:t xml:space="preserve"> or a sale of substantially all of its assets. This Agreement shall inure to the benefit of the </w:t>
      </w:r>
      <w:r w:rsidR="009862AD">
        <w:rPr>
          <w:sz w:val="22"/>
          <w:szCs w:val="22"/>
        </w:rPr>
        <w:t>p</w:t>
      </w:r>
      <w:r w:rsidRPr="005464DA">
        <w:rPr>
          <w:sz w:val="22"/>
          <w:szCs w:val="22"/>
        </w:rPr>
        <w:t>arties, their successors and permitted assigns.</w:t>
      </w:r>
    </w:p>
    <w:p w14:paraId="13377938" w14:textId="3CDC4D32" w:rsidR="005464DA" w:rsidRPr="00010E1F" w:rsidRDefault="005464DA" w:rsidP="005464DA">
      <w:pPr>
        <w:numPr>
          <w:ilvl w:val="1"/>
          <w:numId w:val="12"/>
        </w:numPr>
        <w:spacing w:after="200"/>
        <w:outlineLvl w:val="1"/>
        <w:rPr>
          <w:rFonts w:eastAsia="Times New Roman"/>
          <w:bCs/>
          <w:iCs/>
          <w:sz w:val="22"/>
          <w:szCs w:val="22"/>
          <w:lang w:eastAsia="ja-JP"/>
        </w:rPr>
      </w:pPr>
      <w:r w:rsidRPr="005464DA">
        <w:rPr>
          <w:rStyle w:val="Emphasis"/>
          <w:i w:val="0"/>
          <w:sz w:val="22"/>
          <w:szCs w:val="22"/>
          <w:u w:val="single"/>
        </w:rPr>
        <w:t>W</w:t>
      </w:r>
      <w:r w:rsidR="00010E1F">
        <w:rPr>
          <w:rStyle w:val="Emphasis"/>
          <w:i w:val="0"/>
          <w:sz w:val="22"/>
          <w:szCs w:val="22"/>
          <w:u w:val="single"/>
        </w:rPr>
        <w:t>aiver</w:t>
      </w:r>
      <w:r w:rsidRPr="005464DA">
        <w:rPr>
          <w:rStyle w:val="Emphasis"/>
          <w:i w:val="0"/>
          <w:sz w:val="22"/>
          <w:szCs w:val="22"/>
        </w:rPr>
        <w:t>.</w:t>
      </w:r>
      <w:r w:rsidRPr="005464DA">
        <w:rPr>
          <w:i/>
          <w:sz w:val="22"/>
          <w:szCs w:val="22"/>
        </w:rPr>
        <w:t xml:space="preserve"> </w:t>
      </w:r>
      <w:r>
        <w:rPr>
          <w:sz w:val="22"/>
          <w:szCs w:val="22"/>
        </w:rPr>
        <w:t xml:space="preserve">No waiver shall be effective unless consented to by both </w:t>
      </w:r>
      <w:r w:rsidR="009862AD">
        <w:rPr>
          <w:sz w:val="22"/>
          <w:szCs w:val="22"/>
        </w:rPr>
        <w:t>p</w:t>
      </w:r>
      <w:r>
        <w:rPr>
          <w:sz w:val="22"/>
          <w:szCs w:val="22"/>
        </w:rPr>
        <w:t xml:space="preserve">arties in writing. No failure or delay by either </w:t>
      </w:r>
      <w:r w:rsidR="009862AD">
        <w:rPr>
          <w:sz w:val="22"/>
          <w:szCs w:val="22"/>
        </w:rPr>
        <w:t>p</w:t>
      </w:r>
      <w:r>
        <w:rPr>
          <w:sz w:val="22"/>
          <w:szCs w:val="22"/>
        </w:rPr>
        <w:t>arty in exercising any rights, powers, or remedies under this Agreement shall operate as a waiver of any such right, power, or remedy.</w:t>
      </w:r>
    </w:p>
    <w:p w14:paraId="07DEC74A" w14:textId="4D461144" w:rsidR="00010E1F" w:rsidRDefault="00010E1F" w:rsidP="00010E1F">
      <w:pPr>
        <w:numPr>
          <w:ilvl w:val="1"/>
          <w:numId w:val="12"/>
        </w:numPr>
        <w:spacing w:after="200"/>
        <w:outlineLvl w:val="1"/>
        <w:rPr>
          <w:rFonts w:eastAsia="Times New Roman"/>
          <w:bCs/>
          <w:iCs/>
          <w:sz w:val="22"/>
          <w:szCs w:val="22"/>
          <w:lang w:eastAsia="ja-JP"/>
        </w:rPr>
      </w:pPr>
      <w:r w:rsidRPr="00010E1F">
        <w:rPr>
          <w:rFonts w:eastAsia="Times New Roman"/>
          <w:bCs/>
          <w:iCs/>
          <w:sz w:val="22"/>
          <w:szCs w:val="22"/>
          <w:u w:val="single"/>
          <w:lang w:eastAsia="ja-JP"/>
        </w:rPr>
        <w:t>Entire Agreement</w:t>
      </w:r>
      <w:r>
        <w:rPr>
          <w:rFonts w:eastAsia="Times New Roman"/>
          <w:bCs/>
          <w:iCs/>
          <w:sz w:val="22"/>
          <w:szCs w:val="22"/>
          <w:lang w:eastAsia="ja-JP"/>
        </w:rPr>
        <w:t xml:space="preserve">. This Agreement and </w:t>
      </w:r>
      <w:proofErr w:type="gramStart"/>
      <w:r>
        <w:rPr>
          <w:rFonts w:eastAsia="Times New Roman"/>
          <w:bCs/>
          <w:iCs/>
          <w:sz w:val="22"/>
          <w:szCs w:val="22"/>
          <w:lang w:eastAsia="ja-JP"/>
        </w:rPr>
        <w:t>all of</w:t>
      </w:r>
      <w:proofErr w:type="gramEnd"/>
      <w:r>
        <w:rPr>
          <w:rFonts w:eastAsia="Times New Roman"/>
          <w:bCs/>
          <w:iCs/>
          <w:sz w:val="22"/>
          <w:szCs w:val="22"/>
          <w:lang w:eastAsia="ja-JP"/>
        </w:rPr>
        <w:t xml:space="preserve"> its appendices and exhibits</w:t>
      </w:r>
      <w:r w:rsidRPr="00010E1F">
        <w:rPr>
          <w:rFonts w:eastAsia="Times New Roman"/>
          <w:bCs/>
          <w:iCs/>
          <w:sz w:val="22"/>
          <w:szCs w:val="22"/>
          <w:lang w:eastAsia="ja-JP"/>
        </w:rPr>
        <w:t xml:space="preserve">, all of which are incorporated herein by reference, contains the entire understanding and agreement of the </w:t>
      </w:r>
      <w:r>
        <w:rPr>
          <w:rFonts w:eastAsia="Times New Roman"/>
          <w:bCs/>
          <w:iCs/>
          <w:sz w:val="22"/>
          <w:szCs w:val="22"/>
          <w:lang w:eastAsia="ja-JP"/>
        </w:rPr>
        <w:t>p</w:t>
      </w:r>
      <w:r w:rsidRPr="00010E1F">
        <w:rPr>
          <w:rFonts w:eastAsia="Times New Roman"/>
          <w:bCs/>
          <w:iCs/>
          <w:sz w:val="22"/>
          <w:szCs w:val="22"/>
          <w:lang w:eastAsia="ja-JP"/>
        </w:rPr>
        <w:t xml:space="preserve">arties with respect to the subject matter contained herein. This Agreement supersedes all prior oral or written understandings and agreements relating thereto except as expressly otherwise provided, and may not be altered, </w:t>
      </w:r>
      <w:proofErr w:type="gramStart"/>
      <w:r w:rsidRPr="00010E1F">
        <w:rPr>
          <w:rFonts w:eastAsia="Times New Roman"/>
          <w:bCs/>
          <w:iCs/>
          <w:sz w:val="22"/>
          <w:szCs w:val="22"/>
          <w:lang w:eastAsia="ja-JP"/>
        </w:rPr>
        <w:t>modified</w:t>
      </w:r>
      <w:proofErr w:type="gramEnd"/>
      <w:r w:rsidRPr="00010E1F">
        <w:rPr>
          <w:rFonts w:eastAsia="Times New Roman"/>
          <w:bCs/>
          <w:iCs/>
          <w:sz w:val="22"/>
          <w:szCs w:val="22"/>
          <w:lang w:eastAsia="ja-JP"/>
        </w:rPr>
        <w:t xml:space="preserve"> or waived in whole or in part, except in writing, signed by duly aut</w:t>
      </w:r>
      <w:r>
        <w:rPr>
          <w:rFonts w:eastAsia="Times New Roman"/>
          <w:bCs/>
          <w:iCs/>
          <w:sz w:val="22"/>
          <w:szCs w:val="22"/>
          <w:lang w:eastAsia="ja-JP"/>
        </w:rPr>
        <w:t>horized representatives of the p</w:t>
      </w:r>
      <w:r w:rsidRPr="00010E1F">
        <w:rPr>
          <w:rFonts w:eastAsia="Times New Roman"/>
          <w:bCs/>
          <w:iCs/>
          <w:sz w:val="22"/>
          <w:szCs w:val="22"/>
          <w:lang w:eastAsia="ja-JP"/>
        </w:rPr>
        <w:t>arties.</w:t>
      </w:r>
      <w:r w:rsidR="00CF7A4E">
        <w:rPr>
          <w:rFonts w:eastAsia="Times New Roman"/>
          <w:bCs/>
          <w:iCs/>
          <w:sz w:val="22"/>
          <w:szCs w:val="22"/>
          <w:lang w:eastAsia="ja-JP"/>
        </w:rPr>
        <w:t xml:space="preserve">  The parties</w:t>
      </w:r>
      <w:r w:rsidR="00CF7A4E" w:rsidRPr="00A0256B">
        <w:rPr>
          <w:rFonts w:eastAsia="Times New Roman"/>
          <w:bCs/>
          <w:iCs/>
          <w:sz w:val="22"/>
          <w:szCs w:val="22"/>
          <w:lang w:eastAsia="ja-JP"/>
        </w:rPr>
        <w:t xml:space="preserve"> shall </w:t>
      </w:r>
      <w:r w:rsidR="00CF7A4E">
        <w:rPr>
          <w:rFonts w:eastAsia="Times New Roman"/>
          <w:bCs/>
          <w:iCs/>
          <w:sz w:val="22"/>
          <w:szCs w:val="22"/>
          <w:lang w:eastAsia="ja-JP"/>
        </w:rPr>
        <w:t xml:space="preserve">not </w:t>
      </w:r>
      <w:r w:rsidR="00CF7A4E" w:rsidRPr="00A0256B">
        <w:rPr>
          <w:rFonts w:eastAsia="Times New Roman"/>
          <w:bCs/>
          <w:iCs/>
          <w:sz w:val="22"/>
          <w:szCs w:val="22"/>
          <w:lang w:eastAsia="ja-JP"/>
        </w:rPr>
        <w:t xml:space="preserve">require the consent or approval of any Company Affiliate or another Contracted Vendor to amend this </w:t>
      </w:r>
      <w:r w:rsidR="00CF7A4E">
        <w:rPr>
          <w:rFonts w:eastAsia="Times New Roman"/>
          <w:bCs/>
          <w:iCs/>
          <w:sz w:val="22"/>
          <w:szCs w:val="22"/>
          <w:lang w:eastAsia="ja-JP"/>
        </w:rPr>
        <w:t>Agreement</w:t>
      </w:r>
      <w:r w:rsidR="00CF7A4E" w:rsidRPr="00A0256B">
        <w:rPr>
          <w:rFonts w:eastAsia="Times New Roman"/>
          <w:bCs/>
          <w:iCs/>
          <w:sz w:val="22"/>
          <w:szCs w:val="22"/>
          <w:lang w:eastAsia="ja-JP"/>
        </w:rPr>
        <w:t>.</w:t>
      </w:r>
    </w:p>
    <w:p w14:paraId="0CEB4AA9" w14:textId="35ACC7C5" w:rsidR="005464DA" w:rsidRPr="00A0256B" w:rsidRDefault="005464DA" w:rsidP="005464DA">
      <w:pPr>
        <w:numPr>
          <w:ilvl w:val="1"/>
          <w:numId w:val="12"/>
        </w:numPr>
        <w:spacing w:after="200"/>
        <w:outlineLvl w:val="1"/>
        <w:rPr>
          <w:rFonts w:eastAsia="Times New Roman"/>
          <w:bCs/>
          <w:iCs/>
          <w:sz w:val="22"/>
          <w:szCs w:val="22"/>
          <w:lang w:eastAsia="ja-JP"/>
        </w:rPr>
      </w:pPr>
      <w:r w:rsidRPr="005464DA">
        <w:rPr>
          <w:rFonts w:eastAsia="Times New Roman"/>
          <w:bCs/>
          <w:iCs/>
          <w:sz w:val="22"/>
          <w:szCs w:val="22"/>
          <w:u w:val="single"/>
          <w:lang w:eastAsia="ja-JP"/>
        </w:rPr>
        <w:t>Counterparts</w:t>
      </w:r>
      <w:r w:rsidRPr="005464DA">
        <w:rPr>
          <w:rFonts w:eastAsia="Times New Roman"/>
          <w:bCs/>
          <w:iCs/>
          <w:sz w:val="22"/>
          <w:szCs w:val="22"/>
          <w:lang w:eastAsia="ja-JP"/>
        </w:rPr>
        <w:t>. This Agreement may be executed counterparts, by facsimile, electronic signature, scanned signature or otherwise, each of which shall be deemed to be an original, but all of which, together, shall constitute one and the same instrument.</w:t>
      </w:r>
    </w:p>
    <w:p w14:paraId="294AE6EB" w14:textId="4E6DC9BD" w:rsidR="00A0256B" w:rsidRPr="00887B80" w:rsidRDefault="00A0256B" w:rsidP="00887B80">
      <w:pPr>
        <w:spacing w:line="276" w:lineRule="auto"/>
        <w:jc w:val="center"/>
        <w:rPr>
          <w:rFonts w:eastAsia="MS Mincho"/>
          <w:sz w:val="22"/>
          <w:szCs w:val="20"/>
          <w:lang w:eastAsia="ja-JP"/>
        </w:rPr>
      </w:pPr>
      <w:r w:rsidRPr="00A0256B">
        <w:rPr>
          <w:rFonts w:eastAsia="MS Mincho"/>
          <w:sz w:val="22"/>
          <w:szCs w:val="20"/>
          <w:lang w:eastAsia="ja-JP"/>
        </w:rPr>
        <w:t>[</w:t>
      </w:r>
      <w:r w:rsidRPr="00A0256B">
        <w:rPr>
          <w:rFonts w:eastAsia="MS Mincho"/>
          <w:i/>
          <w:sz w:val="22"/>
          <w:szCs w:val="20"/>
          <w:lang w:eastAsia="ja-JP"/>
        </w:rPr>
        <w:t>Signatures on following page</w:t>
      </w:r>
      <w:r w:rsidRPr="00A0256B">
        <w:rPr>
          <w:rFonts w:eastAsia="MS Mincho"/>
          <w:sz w:val="22"/>
          <w:szCs w:val="20"/>
          <w:lang w:eastAsia="ja-JP"/>
        </w:rPr>
        <w:t>]</w:t>
      </w:r>
      <w:r w:rsidRPr="00A0256B">
        <w:rPr>
          <w:rFonts w:eastAsia="MS Mincho"/>
          <w:sz w:val="22"/>
          <w:szCs w:val="20"/>
          <w:lang w:eastAsia="ja-JP"/>
        </w:rPr>
        <w:br w:type="page"/>
      </w:r>
    </w:p>
    <w:p w14:paraId="3989873C" w14:textId="33D76C7E" w:rsidR="00A0256B" w:rsidRPr="00A0256B" w:rsidRDefault="00A0256B" w:rsidP="00A0256B">
      <w:pPr>
        <w:spacing w:after="200"/>
        <w:ind w:firstLine="720"/>
        <w:rPr>
          <w:rFonts w:eastAsia="Times New Roman"/>
          <w:sz w:val="22"/>
          <w:szCs w:val="22"/>
          <w:lang w:eastAsia="ja-JP"/>
        </w:rPr>
      </w:pPr>
      <w:r w:rsidRPr="00A0256B">
        <w:rPr>
          <w:rFonts w:eastAsia="Times New Roman"/>
          <w:sz w:val="22"/>
          <w:szCs w:val="22"/>
          <w:lang w:eastAsia="ja-JP"/>
        </w:rPr>
        <w:lastRenderedPageBreak/>
        <w:t xml:space="preserve">IN WITNESS WHEREOF, this </w:t>
      </w:r>
      <w:r w:rsidR="00B6084D">
        <w:rPr>
          <w:rFonts w:eastAsia="Times New Roman"/>
          <w:sz w:val="22"/>
          <w:szCs w:val="22"/>
          <w:lang w:eastAsia="ja-JP"/>
        </w:rPr>
        <w:t>Agreement</w:t>
      </w:r>
      <w:r w:rsidRPr="00A0256B">
        <w:rPr>
          <w:rFonts w:eastAsia="Times New Roman"/>
          <w:sz w:val="22"/>
          <w:szCs w:val="22"/>
          <w:lang w:eastAsia="ja-JP"/>
        </w:rPr>
        <w:t xml:space="preserve"> is entered into and becomes a binding </w:t>
      </w:r>
      <w:r w:rsidR="003B674C">
        <w:rPr>
          <w:rFonts w:eastAsia="Times New Roman"/>
          <w:sz w:val="22"/>
          <w:szCs w:val="22"/>
          <w:lang w:eastAsia="ja-JP"/>
        </w:rPr>
        <w:t>upon the parties as of the</w:t>
      </w:r>
      <w:r w:rsidRPr="00A0256B">
        <w:rPr>
          <w:rFonts w:eastAsia="Times New Roman"/>
          <w:sz w:val="22"/>
          <w:szCs w:val="22"/>
          <w:lang w:eastAsia="ja-JP"/>
        </w:rPr>
        <w:t xml:space="preserve"> </w:t>
      </w:r>
      <w:r w:rsidR="003B674C">
        <w:rPr>
          <w:rFonts w:eastAsia="Times New Roman"/>
          <w:sz w:val="22"/>
          <w:szCs w:val="22"/>
          <w:lang w:eastAsia="ja-JP"/>
        </w:rPr>
        <w:t>E</w:t>
      </w:r>
      <w:r w:rsidR="003B674C" w:rsidRPr="00A0256B">
        <w:rPr>
          <w:rFonts w:eastAsia="Times New Roman"/>
          <w:sz w:val="22"/>
          <w:szCs w:val="22"/>
          <w:lang w:eastAsia="ja-JP"/>
        </w:rPr>
        <w:t>ffect</w:t>
      </w:r>
      <w:r w:rsidR="003B674C">
        <w:rPr>
          <w:rFonts w:eastAsia="Times New Roman"/>
          <w:sz w:val="22"/>
          <w:szCs w:val="22"/>
          <w:lang w:eastAsia="ja-JP"/>
        </w:rPr>
        <w:t>ive</w:t>
      </w:r>
      <w:r w:rsidR="003B674C" w:rsidRPr="00A0256B">
        <w:rPr>
          <w:rFonts w:eastAsia="Times New Roman"/>
          <w:sz w:val="22"/>
          <w:szCs w:val="22"/>
          <w:lang w:eastAsia="ja-JP"/>
        </w:rPr>
        <w:t xml:space="preserve"> </w:t>
      </w:r>
      <w:r w:rsidR="003B674C">
        <w:rPr>
          <w:rFonts w:eastAsia="Times New Roman"/>
          <w:sz w:val="22"/>
          <w:szCs w:val="22"/>
          <w:lang w:eastAsia="ja-JP"/>
        </w:rPr>
        <w:t>D</w:t>
      </w:r>
      <w:r w:rsidRPr="00A0256B">
        <w:rPr>
          <w:rFonts w:eastAsia="Times New Roman"/>
          <w:sz w:val="22"/>
          <w:szCs w:val="22"/>
          <w:lang w:eastAsia="ja-JP"/>
        </w:rPr>
        <w:t>ate.</w:t>
      </w:r>
    </w:p>
    <w:p w14:paraId="6C15D5AC" w14:textId="2496D7F2" w:rsidR="00A0256B" w:rsidRPr="00A0256B" w:rsidRDefault="003C2EBA" w:rsidP="00A0256B">
      <w:pPr>
        <w:spacing w:after="200"/>
        <w:ind w:firstLine="720"/>
        <w:rPr>
          <w:rFonts w:eastAsia="Times New Roman"/>
          <w:b/>
          <w:sz w:val="22"/>
          <w:szCs w:val="22"/>
          <w:lang w:eastAsia="ja-JP"/>
        </w:rPr>
      </w:pPr>
      <w:r>
        <w:rPr>
          <w:rFonts w:eastAsia="Times New Roman"/>
          <w:b/>
          <w:sz w:val="22"/>
          <w:szCs w:val="22"/>
          <w:lang w:eastAsia="ja-JP"/>
        </w:rPr>
        <w:t>FUNDRAISE UP INC.</w:t>
      </w:r>
    </w:p>
    <w:p w14:paraId="1CB30F43" w14:textId="77777777" w:rsidR="00A0256B" w:rsidRPr="00A0256B" w:rsidRDefault="00A0256B" w:rsidP="00A0256B">
      <w:pPr>
        <w:spacing w:after="200"/>
        <w:ind w:firstLine="720"/>
        <w:rPr>
          <w:rFonts w:eastAsia="Times New Roman"/>
          <w:sz w:val="22"/>
          <w:szCs w:val="22"/>
          <w:lang w:eastAsia="ja-JP"/>
        </w:rPr>
      </w:pPr>
    </w:p>
    <w:p w14:paraId="1C5D46D9" w14:textId="77777777" w:rsidR="00A0256B" w:rsidRPr="00A0256B" w:rsidRDefault="00A0256B" w:rsidP="00A0256B">
      <w:pPr>
        <w:spacing w:after="200"/>
        <w:ind w:firstLine="720"/>
        <w:rPr>
          <w:rFonts w:eastAsia="Times New Roman"/>
          <w:sz w:val="22"/>
          <w:szCs w:val="22"/>
          <w:u w:val="single"/>
          <w:lang w:eastAsia="ja-JP"/>
        </w:rPr>
      </w:pPr>
      <w:r w:rsidRPr="00A0256B">
        <w:rPr>
          <w:rFonts w:eastAsia="Times New Roman"/>
          <w:sz w:val="22"/>
          <w:szCs w:val="22"/>
          <w:lang w:eastAsia="ja-JP"/>
        </w:rPr>
        <w:t xml:space="preserve">By: </w:t>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p>
    <w:p w14:paraId="4173AD93" w14:textId="5C0E4DE7" w:rsidR="00A0256B" w:rsidRPr="00A0256B" w:rsidRDefault="00A0256B" w:rsidP="00A0256B">
      <w:pPr>
        <w:spacing w:after="200"/>
        <w:ind w:firstLine="720"/>
        <w:rPr>
          <w:rFonts w:eastAsia="Times New Roman"/>
          <w:sz w:val="22"/>
          <w:szCs w:val="22"/>
          <w:u w:val="single"/>
          <w:lang w:eastAsia="ja-JP"/>
        </w:rPr>
      </w:pPr>
      <w:r w:rsidRPr="00A0256B">
        <w:rPr>
          <w:rFonts w:eastAsia="Times New Roman"/>
          <w:sz w:val="22"/>
          <w:szCs w:val="22"/>
          <w:lang w:eastAsia="ja-JP"/>
        </w:rPr>
        <w:t xml:space="preserve">Print Name: </w:t>
      </w:r>
      <w:r w:rsidRPr="00A0256B">
        <w:rPr>
          <w:rFonts w:eastAsia="Times New Roman"/>
          <w:sz w:val="22"/>
          <w:szCs w:val="22"/>
          <w:u w:val="single"/>
          <w:lang w:eastAsia="ja-JP"/>
        </w:rPr>
        <w:tab/>
      </w:r>
      <w:proofErr w:type="spellStart"/>
      <w:r w:rsidR="000905FC">
        <w:rPr>
          <w:rFonts w:eastAsia="Times New Roman"/>
          <w:sz w:val="22"/>
          <w:szCs w:val="22"/>
          <w:u w:val="single"/>
          <w:lang w:eastAsia="ja-JP"/>
        </w:rPr>
        <w:t>Yuriy</w:t>
      </w:r>
      <w:proofErr w:type="spellEnd"/>
      <w:r w:rsidR="000905FC">
        <w:rPr>
          <w:rFonts w:eastAsia="Times New Roman"/>
          <w:sz w:val="22"/>
          <w:szCs w:val="22"/>
          <w:u w:val="single"/>
          <w:lang w:eastAsia="ja-JP"/>
        </w:rPr>
        <w:t xml:space="preserve"> Smirnov</w:t>
      </w:r>
      <w:r w:rsidR="000905FC">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p>
    <w:p w14:paraId="0DD6C9D4" w14:textId="233E9EC4" w:rsidR="00A0256B" w:rsidRPr="00A0256B" w:rsidRDefault="00A0256B" w:rsidP="00A0256B">
      <w:pPr>
        <w:spacing w:after="200"/>
        <w:ind w:firstLine="720"/>
        <w:rPr>
          <w:rFonts w:eastAsia="Times New Roman"/>
          <w:sz w:val="22"/>
          <w:szCs w:val="22"/>
          <w:u w:val="single"/>
          <w:lang w:eastAsia="ja-JP"/>
        </w:rPr>
      </w:pPr>
      <w:r w:rsidRPr="00A0256B">
        <w:rPr>
          <w:rFonts w:eastAsia="Times New Roman"/>
          <w:sz w:val="22"/>
          <w:szCs w:val="22"/>
          <w:lang w:eastAsia="ja-JP"/>
        </w:rPr>
        <w:t xml:space="preserve">Title: </w:t>
      </w:r>
      <w:r w:rsidRPr="00A0256B">
        <w:rPr>
          <w:rFonts w:eastAsia="Times New Roman"/>
          <w:sz w:val="22"/>
          <w:szCs w:val="22"/>
          <w:u w:val="single"/>
          <w:lang w:eastAsia="ja-JP"/>
        </w:rPr>
        <w:tab/>
      </w:r>
      <w:r w:rsidR="000905FC">
        <w:rPr>
          <w:rFonts w:eastAsia="Times New Roman"/>
          <w:sz w:val="22"/>
          <w:szCs w:val="22"/>
          <w:u w:val="single"/>
          <w:lang w:eastAsia="ja-JP"/>
        </w:rPr>
        <w:t>Chief Technology Officer</w:t>
      </w:r>
      <w:r w:rsidR="000905FC">
        <w:rPr>
          <w:rFonts w:eastAsia="Times New Roman"/>
          <w:sz w:val="22"/>
          <w:szCs w:val="22"/>
          <w:u w:val="single"/>
          <w:lang w:eastAsia="ja-JP"/>
        </w:rPr>
        <w:tab/>
      </w:r>
      <w:r w:rsidRPr="00A0256B">
        <w:rPr>
          <w:rFonts w:eastAsia="Times New Roman"/>
          <w:sz w:val="22"/>
          <w:szCs w:val="22"/>
          <w:u w:val="single"/>
          <w:lang w:eastAsia="ja-JP"/>
        </w:rPr>
        <w:tab/>
      </w:r>
    </w:p>
    <w:p w14:paraId="0409934D" w14:textId="77777777" w:rsidR="00A0256B" w:rsidRPr="00A0256B" w:rsidRDefault="00A0256B" w:rsidP="00A0256B">
      <w:pPr>
        <w:rPr>
          <w:rFonts w:eastAsia="MS Mincho"/>
          <w:sz w:val="22"/>
          <w:szCs w:val="20"/>
          <w:lang w:eastAsia="ja-JP"/>
        </w:rPr>
      </w:pPr>
    </w:p>
    <w:p w14:paraId="7E6496CF" w14:textId="65768515" w:rsidR="00A0256B" w:rsidRPr="00A0256B" w:rsidRDefault="00A0256B" w:rsidP="00A0256B">
      <w:pPr>
        <w:spacing w:after="200"/>
        <w:ind w:firstLine="720"/>
        <w:rPr>
          <w:rFonts w:eastAsia="Times New Roman"/>
          <w:b/>
          <w:sz w:val="22"/>
          <w:szCs w:val="22"/>
          <w:lang w:eastAsia="ja-JP"/>
        </w:rPr>
      </w:pPr>
    </w:p>
    <w:p w14:paraId="73FA78FC" w14:textId="77777777" w:rsidR="00A0256B" w:rsidRPr="00A0256B" w:rsidRDefault="00A0256B" w:rsidP="00A0256B">
      <w:pPr>
        <w:spacing w:after="200"/>
        <w:ind w:firstLine="720"/>
        <w:rPr>
          <w:rFonts w:eastAsia="Times New Roman"/>
          <w:sz w:val="22"/>
          <w:szCs w:val="22"/>
          <w:lang w:eastAsia="ja-JP"/>
        </w:rPr>
      </w:pPr>
    </w:p>
    <w:p w14:paraId="6B004A10" w14:textId="77777777" w:rsidR="00A0256B" w:rsidRPr="00A0256B" w:rsidRDefault="00A0256B" w:rsidP="00A0256B">
      <w:pPr>
        <w:spacing w:after="200"/>
        <w:ind w:firstLine="720"/>
        <w:rPr>
          <w:rFonts w:eastAsia="Times New Roman"/>
          <w:sz w:val="22"/>
          <w:szCs w:val="22"/>
          <w:u w:val="single"/>
          <w:lang w:eastAsia="ja-JP"/>
        </w:rPr>
      </w:pPr>
      <w:r w:rsidRPr="00A0256B">
        <w:rPr>
          <w:rFonts w:eastAsia="Times New Roman"/>
          <w:sz w:val="22"/>
          <w:szCs w:val="22"/>
          <w:lang w:eastAsia="ja-JP"/>
        </w:rPr>
        <w:t xml:space="preserve">By: </w:t>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p>
    <w:p w14:paraId="05264506" w14:textId="77777777" w:rsidR="00A0256B" w:rsidRPr="00A0256B" w:rsidRDefault="00A0256B" w:rsidP="00A0256B">
      <w:pPr>
        <w:spacing w:after="200"/>
        <w:ind w:firstLine="720"/>
        <w:rPr>
          <w:rFonts w:eastAsia="Times New Roman"/>
          <w:sz w:val="22"/>
          <w:szCs w:val="22"/>
          <w:u w:val="single"/>
          <w:lang w:eastAsia="ja-JP"/>
        </w:rPr>
      </w:pPr>
      <w:r w:rsidRPr="00A0256B">
        <w:rPr>
          <w:rFonts w:eastAsia="Times New Roman"/>
          <w:sz w:val="22"/>
          <w:szCs w:val="22"/>
          <w:lang w:eastAsia="ja-JP"/>
        </w:rPr>
        <w:t xml:space="preserve">Print Name: </w:t>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p>
    <w:p w14:paraId="28329860" w14:textId="77777777" w:rsidR="00A0256B" w:rsidRPr="00A0256B" w:rsidRDefault="00A0256B" w:rsidP="00A0256B">
      <w:pPr>
        <w:spacing w:after="200"/>
        <w:ind w:firstLine="720"/>
        <w:rPr>
          <w:rFonts w:eastAsia="Times New Roman"/>
          <w:sz w:val="22"/>
          <w:szCs w:val="22"/>
          <w:u w:val="single"/>
          <w:lang w:eastAsia="ja-JP"/>
        </w:rPr>
      </w:pPr>
      <w:r w:rsidRPr="00A0256B">
        <w:rPr>
          <w:rFonts w:eastAsia="Times New Roman"/>
          <w:sz w:val="22"/>
          <w:szCs w:val="22"/>
          <w:lang w:eastAsia="ja-JP"/>
        </w:rPr>
        <w:t xml:space="preserve">Title: </w:t>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r w:rsidRPr="00A0256B">
        <w:rPr>
          <w:rFonts w:eastAsia="Times New Roman"/>
          <w:sz w:val="22"/>
          <w:szCs w:val="22"/>
          <w:u w:val="single"/>
          <w:lang w:eastAsia="ja-JP"/>
        </w:rPr>
        <w:tab/>
      </w:r>
    </w:p>
    <w:p w14:paraId="380C6042" w14:textId="77777777" w:rsidR="00A0256B" w:rsidRPr="00A0256B" w:rsidRDefault="00A0256B" w:rsidP="00A0256B">
      <w:pPr>
        <w:spacing w:line="276" w:lineRule="auto"/>
        <w:rPr>
          <w:rFonts w:eastAsia="MS Mincho"/>
          <w:sz w:val="22"/>
          <w:szCs w:val="20"/>
          <w:lang w:eastAsia="ja-JP"/>
        </w:rPr>
      </w:pPr>
      <w:r w:rsidRPr="00A0256B">
        <w:rPr>
          <w:rFonts w:eastAsia="MS Mincho"/>
          <w:sz w:val="22"/>
          <w:szCs w:val="20"/>
          <w:lang w:eastAsia="ja-JP"/>
        </w:rPr>
        <w:br w:type="page"/>
      </w:r>
    </w:p>
    <w:p w14:paraId="4DD5A575" w14:textId="77777777" w:rsidR="00A0256B" w:rsidRPr="00A0256B" w:rsidRDefault="00A0256B" w:rsidP="00A0256B">
      <w:pPr>
        <w:spacing w:after="200"/>
        <w:jc w:val="center"/>
        <w:outlineLvl w:val="0"/>
        <w:rPr>
          <w:rFonts w:eastAsia="Times New Roman"/>
          <w:b/>
          <w:bCs/>
          <w:kern w:val="28"/>
          <w:sz w:val="22"/>
          <w:szCs w:val="22"/>
          <w:lang w:eastAsia="ja-JP"/>
        </w:rPr>
      </w:pPr>
      <w:r w:rsidRPr="00A0256B">
        <w:rPr>
          <w:rFonts w:eastAsia="Times New Roman"/>
          <w:b/>
          <w:bCs/>
          <w:kern w:val="28"/>
          <w:sz w:val="22"/>
          <w:szCs w:val="22"/>
          <w:lang w:eastAsia="ja-JP"/>
        </w:rPr>
        <w:lastRenderedPageBreak/>
        <w:t>ANNEX 1</w:t>
      </w:r>
    </w:p>
    <w:p w14:paraId="18395F69" w14:textId="6A69EE18" w:rsidR="00A0256B" w:rsidRPr="00A0256B" w:rsidRDefault="00A0256B" w:rsidP="00A0256B">
      <w:pPr>
        <w:spacing w:after="200"/>
        <w:jc w:val="center"/>
        <w:outlineLvl w:val="0"/>
        <w:rPr>
          <w:rFonts w:eastAsia="Times New Roman"/>
          <w:b/>
          <w:bCs/>
          <w:kern w:val="28"/>
          <w:sz w:val="22"/>
          <w:szCs w:val="22"/>
          <w:lang w:eastAsia="ja-JP"/>
        </w:rPr>
      </w:pPr>
      <w:r w:rsidRPr="00A0256B">
        <w:rPr>
          <w:rFonts w:eastAsia="Times New Roman"/>
          <w:b/>
          <w:bCs/>
          <w:kern w:val="28"/>
          <w:sz w:val="22"/>
          <w:szCs w:val="22"/>
          <w:lang w:eastAsia="ja-JP"/>
        </w:rPr>
        <w:t xml:space="preserve">TO THE DATA PROCESSING </w:t>
      </w:r>
      <w:r w:rsidR="00B6084D">
        <w:rPr>
          <w:rFonts w:eastAsia="Times New Roman"/>
          <w:b/>
          <w:bCs/>
          <w:kern w:val="28"/>
          <w:sz w:val="22"/>
          <w:szCs w:val="22"/>
          <w:lang w:eastAsia="ja-JP"/>
        </w:rPr>
        <w:t>AGREEMENT</w:t>
      </w:r>
    </w:p>
    <w:p w14:paraId="6C0DF3D1" w14:textId="7CE00421" w:rsidR="00A0256B" w:rsidRPr="00A0256B" w:rsidRDefault="00A0256B" w:rsidP="00A0256B">
      <w:pPr>
        <w:spacing w:after="200"/>
        <w:ind w:firstLine="720"/>
        <w:rPr>
          <w:rFonts w:eastAsia="Times New Roman"/>
          <w:sz w:val="22"/>
          <w:szCs w:val="22"/>
          <w:lang w:eastAsia="ja-JP"/>
        </w:rPr>
      </w:pPr>
      <w:r w:rsidRPr="00A0256B">
        <w:rPr>
          <w:rFonts w:eastAsia="Times New Roman"/>
          <w:sz w:val="22"/>
          <w:szCs w:val="22"/>
          <w:lang w:eastAsia="ja-JP"/>
        </w:rPr>
        <w:t xml:space="preserve">This Annex forms part of the </w:t>
      </w:r>
      <w:r w:rsidR="00B6084D">
        <w:rPr>
          <w:rFonts w:eastAsia="Times New Roman"/>
          <w:sz w:val="22"/>
          <w:szCs w:val="22"/>
          <w:lang w:eastAsia="ja-JP"/>
        </w:rPr>
        <w:t>Agreement</w:t>
      </w:r>
      <w:r w:rsidRPr="00A0256B">
        <w:rPr>
          <w:rFonts w:eastAsia="Times New Roman"/>
          <w:sz w:val="22"/>
          <w:szCs w:val="22"/>
          <w:lang w:eastAsia="ja-JP"/>
        </w:rPr>
        <w:t xml:space="preserve"> as agreed by the parties. </w:t>
      </w:r>
    </w:p>
    <w:p w14:paraId="5C7F33F8" w14:textId="77777777" w:rsidR="00A14C07" w:rsidRDefault="003B674C" w:rsidP="00A14C07">
      <w:pPr>
        <w:numPr>
          <w:ilvl w:val="0"/>
          <w:numId w:val="13"/>
        </w:numPr>
        <w:spacing w:after="200"/>
        <w:outlineLvl w:val="0"/>
        <w:rPr>
          <w:rFonts w:eastAsia="Times New Roman"/>
          <w:bCs/>
          <w:sz w:val="22"/>
          <w:szCs w:val="22"/>
          <w:lang w:eastAsia="ja-JP"/>
        </w:rPr>
      </w:pPr>
      <w:r>
        <w:rPr>
          <w:rFonts w:eastAsia="Times New Roman"/>
          <w:bCs/>
          <w:sz w:val="22"/>
          <w:szCs w:val="22"/>
          <w:lang w:eastAsia="ja-JP"/>
        </w:rPr>
        <w:t>Subject Matter of Processing: Vendor’s provision of Services to the Company.</w:t>
      </w:r>
    </w:p>
    <w:p w14:paraId="79D6F3C3" w14:textId="65DFF9CE" w:rsidR="00A0256B" w:rsidRPr="00A14C07" w:rsidRDefault="00A0256B" w:rsidP="00A14C07">
      <w:pPr>
        <w:numPr>
          <w:ilvl w:val="0"/>
          <w:numId w:val="13"/>
        </w:numPr>
        <w:spacing w:after="200"/>
        <w:outlineLvl w:val="0"/>
        <w:rPr>
          <w:rFonts w:eastAsia="Times New Roman"/>
          <w:bCs/>
          <w:sz w:val="22"/>
          <w:szCs w:val="22"/>
          <w:lang w:eastAsia="ja-JP"/>
        </w:rPr>
      </w:pPr>
      <w:r w:rsidRPr="00A14C07">
        <w:rPr>
          <w:rFonts w:eastAsia="Times New Roman"/>
          <w:bCs/>
          <w:sz w:val="22"/>
          <w:szCs w:val="22"/>
          <w:lang w:eastAsia="ja-JP"/>
        </w:rPr>
        <w:t>Categories of Data Subjects.</w:t>
      </w:r>
      <w:r w:rsidR="003B674C" w:rsidRPr="00A14C07">
        <w:rPr>
          <w:rFonts w:eastAsia="Times New Roman"/>
          <w:bCs/>
          <w:sz w:val="22"/>
          <w:szCs w:val="22"/>
          <w:lang w:eastAsia="ja-JP"/>
        </w:rPr>
        <w:t xml:space="preserve"> </w:t>
      </w:r>
    </w:p>
    <w:p w14:paraId="710EEE39" w14:textId="780E1730" w:rsidR="00B6084D" w:rsidRDefault="007C7410" w:rsidP="00B6084D">
      <w:pPr>
        <w:numPr>
          <w:ilvl w:val="1"/>
          <w:numId w:val="12"/>
        </w:numPr>
        <w:spacing w:after="200"/>
        <w:outlineLvl w:val="0"/>
        <w:rPr>
          <w:rFonts w:eastAsia="Times New Roman"/>
          <w:bCs/>
          <w:sz w:val="22"/>
          <w:szCs w:val="22"/>
          <w:lang w:eastAsia="ja-JP"/>
        </w:rPr>
      </w:pPr>
      <w:r>
        <w:rPr>
          <w:rFonts w:eastAsia="Times New Roman"/>
          <w:sz w:val="22"/>
          <w:szCs w:val="22"/>
          <w:lang w:eastAsia="ja-JP"/>
        </w:rPr>
        <w:t>Individuals making donations</w:t>
      </w:r>
      <w:r w:rsidR="00480EB1">
        <w:rPr>
          <w:rFonts w:eastAsia="Times New Roman"/>
          <w:sz w:val="22"/>
          <w:szCs w:val="22"/>
          <w:lang w:eastAsia="ja-JP"/>
        </w:rPr>
        <w:t xml:space="preserve"> to the Company</w:t>
      </w:r>
      <w:r>
        <w:rPr>
          <w:rFonts w:eastAsia="Times New Roman"/>
          <w:sz w:val="22"/>
          <w:szCs w:val="22"/>
          <w:lang w:eastAsia="ja-JP"/>
        </w:rPr>
        <w:t xml:space="preserve">, and </w:t>
      </w:r>
      <w:r w:rsidR="00480EB1">
        <w:rPr>
          <w:rFonts w:eastAsia="Times New Roman"/>
          <w:sz w:val="22"/>
          <w:szCs w:val="22"/>
          <w:lang w:eastAsia="ja-JP"/>
        </w:rPr>
        <w:t>individuals</w:t>
      </w:r>
      <w:r>
        <w:rPr>
          <w:rFonts w:eastAsia="Times New Roman"/>
          <w:sz w:val="22"/>
          <w:szCs w:val="22"/>
          <w:lang w:eastAsia="ja-JP"/>
        </w:rPr>
        <w:t xml:space="preserve"> that work for the Company.</w:t>
      </w:r>
    </w:p>
    <w:p w14:paraId="7F0F34F1" w14:textId="52D2D78D" w:rsidR="00A0256B" w:rsidRPr="00A0256B" w:rsidRDefault="00A0256B" w:rsidP="00B6084D">
      <w:pPr>
        <w:numPr>
          <w:ilvl w:val="0"/>
          <w:numId w:val="12"/>
        </w:numPr>
        <w:spacing w:after="200"/>
        <w:outlineLvl w:val="0"/>
        <w:rPr>
          <w:rFonts w:eastAsia="Times New Roman"/>
          <w:sz w:val="22"/>
          <w:szCs w:val="22"/>
          <w:lang w:eastAsia="ja-JP"/>
        </w:rPr>
      </w:pPr>
      <w:r w:rsidRPr="00A0256B">
        <w:rPr>
          <w:rFonts w:eastAsia="Times New Roman"/>
          <w:bCs/>
          <w:sz w:val="22"/>
          <w:szCs w:val="22"/>
          <w:lang w:eastAsia="ja-JP"/>
        </w:rPr>
        <w:t>Categories of Personal Data.</w:t>
      </w:r>
    </w:p>
    <w:p w14:paraId="001992C3" w14:textId="2D633156" w:rsidR="00B6084D" w:rsidRDefault="009B5606" w:rsidP="00B6084D">
      <w:pPr>
        <w:numPr>
          <w:ilvl w:val="1"/>
          <w:numId w:val="12"/>
        </w:numPr>
        <w:spacing w:after="200"/>
        <w:outlineLvl w:val="0"/>
        <w:rPr>
          <w:rFonts w:eastAsia="Times New Roman"/>
          <w:bCs/>
          <w:sz w:val="22"/>
          <w:szCs w:val="22"/>
          <w:lang w:eastAsia="ja-JP"/>
        </w:rPr>
      </w:pPr>
      <w:r>
        <w:rPr>
          <w:rFonts w:eastAsia="Times New Roman"/>
          <w:sz w:val="22"/>
          <w:szCs w:val="22"/>
          <w:lang w:eastAsia="ja-JP"/>
        </w:rPr>
        <w:t xml:space="preserve">Name, email address, location, </w:t>
      </w:r>
      <w:r w:rsidR="007C7410">
        <w:rPr>
          <w:rFonts w:eastAsia="Times New Roman"/>
          <w:sz w:val="22"/>
          <w:szCs w:val="22"/>
          <w:lang w:eastAsia="ja-JP"/>
        </w:rPr>
        <w:t xml:space="preserve">name of employer, </w:t>
      </w:r>
      <w:r w:rsidR="00A14C07">
        <w:rPr>
          <w:rFonts w:eastAsia="Times New Roman"/>
          <w:sz w:val="22"/>
          <w:szCs w:val="22"/>
          <w:lang w:eastAsia="ja-JP"/>
        </w:rPr>
        <w:t>truncate</w:t>
      </w:r>
      <w:r w:rsidR="00A14C07" w:rsidRPr="00A14C07">
        <w:rPr>
          <w:rFonts w:eastAsia="Times New Roman"/>
          <w:sz w:val="22"/>
          <w:szCs w:val="22"/>
          <w:lang w:eastAsia="ja-JP"/>
        </w:rPr>
        <w:t>d</w:t>
      </w:r>
      <w:r w:rsidRPr="00A14C07">
        <w:rPr>
          <w:rFonts w:eastAsia="Times New Roman"/>
          <w:sz w:val="22"/>
          <w:szCs w:val="22"/>
          <w:lang w:eastAsia="ja-JP"/>
        </w:rPr>
        <w:t xml:space="preserve"> payment card number, </w:t>
      </w:r>
      <w:r w:rsidR="007C7410" w:rsidRPr="00A14C07">
        <w:rPr>
          <w:rFonts w:eastAsia="Times New Roman"/>
          <w:sz w:val="22"/>
          <w:szCs w:val="22"/>
          <w:lang w:eastAsia="ja-JP"/>
        </w:rPr>
        <w:t>payment card CVC code,</w:t>
      </w:r>
      <w:r w:rsidR="007C7410">
        <w:rPr>
          <w:rFonts w:eastAsia="Times New Roman"/>
          <w:sz w:val="22"/>
          <w:szCs w:val="22"/>
          <w:lang w:eastAsia="ja-JP"/>
        </w:rPr>
        <w:t xml:space="preserve"> and IP address.</w:t>
      </w:r>
    </w:p>
    <w:p w14:paraId="220C1011" w14:textId="223DAEC6" w:rsidR="00A0256B" w:rsidRPr="00B6084D" w:rsidRDefault="00A0256B" w:rsidP="00B6084D">
      <w:pPr>
        <w:numPr>
          <w:ilvl w:val="0"/>
          <w:numId w:val="12"/>
        </w:numPr>
        <w:spacing w:after="200"/>
        <w:outlineLvl w:val="0"/>
        <w:rPr>
          <w:rFonts w:eastAsia="Times New Roman"/>
          <w:sz w:val="22"/>
          <w:szCs w:val="22"/>
          <w:lang w:eastAsia="ja-JP"/>
        </w:rPr>
      </w:pPr>
      <w:r w:rsidRPr="00A0256B">
        <w:rPr>
          <w:rFonts w:eastAsia="Times New Roman"/>
          <w:bCs/>
          <w:sz w:val="22"/>
          <w:szCs w:val="22"/>
          <w:lang w:eastAsia="ja-JP"/>
        </w:rPr>
        <w:t>Special Categories of Data (if appropriate).</w:t>
      </w:r>
      <w:r w:rsidR="003B674C">
        <w:rPr>
          <w:rFonts w:eastAsia="Times New Roman"/>
          <w:sz w:val="22"/>
          <w:szCs w:val="22"/>
          <w:lang w:eastAsia="ja-JP"/>
        </w:rPr>
        <w:t xml:space="preserve"> </w:t>
      </w:r>
    </w:p>
    <w:p w14:paraId="03A396F5" w14:textId="74D74B45" w:rsidR="00B6084D" w:rsidRDefault="007C7410" w:rsidP="00B6084D">
      <w:pPr>
        <w:numPr>
          <w:ilvl w:val="1"/>
          <w:numId w:val="12"/>
        </w:numPr>
        <w:spacing w:after="200"/>
        <w:outlineLvl w:val="0"/>
        <w:rPr>
          <w:rFonts w:eastAsia="Times New Roman"/>
          <w:bCs/>
          <w:sz w:val="22"/>
          <w:szCs w:val="22"/>
          <w:lang w:eastAsia="ja-JP"/>
        </w:rPr>
      </w:pPr>
      <w:r>
        <w:rPr>
          <w:rFonts w:eastAsia="Times New Roman"/>
          <w:sz w:val="22"/>
          <w:szCs w:val="22"/>
          <w:lang w:eastAsia="ja-JP"/>
        </w:rPr>
        <w:t xml:space="preserve">No special data collected, </w:t>
      </w:r>
      <w:proofErr w:type="gramStart"/>
      <w:r>
        <w:rPr>
          <w:rFonts w:eastAsia="Times New Roman"/>
          <w:sz w:val="22"/>
          <w:szCs w:val="22"/>
          <w:lang w:eastAsia="ja-JP"/>
        </w:rPr>
        <w:t>received</w:t>
      </w:r>
      <w:proofErr w:type="gramEnd"/>
      <w:r>
        <w:rPr>
          <w:rFonts w:eastAsia="Times New Roman"/>
          <w:sz w:val="22"/>
          <w:szCs w:val="22"/>
          <w:lang w:eastAsia="ja-JP"/>
        </w:rPr>
        <w:t xml:space="preserve"> or processed.</w:t>
      </w:r>
    </w:p>
    <w:p w14:paraId="27AB1572" w14:textId="5124483A" w:rsidR="00A0256B" w:rsidRPr="00A0256B" w:rsidRDefault="00A0256B" w:rsidP="00B6084D">
      <w:pPr>
        <w:numPr>
          <w:ilvl w:val="0"/>
          <w:numId w:val="12"/>
        </w:numPr>
        <w:spacing w:after="200"/>
        <w:outlineLvl w:val="0"/>
        <w:rPr>
          <w:rFonts w:eastAsia="Times New Roman"/>
          <w:sz w:val="22"/>
          <w:szCs w:val="22"/>
          <w:lang w:eastAsia="ja-JP"/>
        </w:rPr>
      </w:pPr>
      <w:r w:rsidRPr="00A0256B">
        <w:rPr>
          <w:rFonts w:eastAsia="Times New Roman"/>
          <w:bCs/>
          <w:sz w:val="22"/>
          <w:szCs w:val="22"/>
          <w:lang w:eastAsia="ja-JP"/>
        </w:rPr>
        <w:t>Processing operations and duration</w:t>
      </w:r>
      <w:r w:rsidR="003B674C">
        <w:rPr>
          <w:rFonts w:eastAsia="Times New Roman"/>
          <w:bCs/>
          <w:sz w:val="22"/>
          <w:szCs w:val="22"/>
          <w:lang w:eastAsia="ja-JP"/>
        </w:rPr>
        <w:t xml:space="preserve">.  </w:t>
      </w:r>
      <w:r w:rsidRPr="00B6084D">
        <w:rPr>
          <w:rFonts w:eastAsia="Times New Roman"/>
          <w:sz w:val="22"/>
          <w:szCs w:val="22"/>
          <w:lang w:eastAsia="ja-JP"/>
        </w:rPr>
        <w:t>The Personal Data transferred will be subject to the following basic Processing activities:</w:t>
      </w:r>
      <w:r w:rsidR="003B674C">
        <w:rPr>
          <w:rFonts w:eastAsia="Times New Roman"/>
          <w:sz w:val="22"/>
          <w:szCs w:val="22"/>
          <w:lang w:eastAsia="ja-JP"/>
        </w:rPr>
        <w:t xml:space="preserve"> managing an e-commerce platform for charitable organizations</w:t>
      </w:r>
      <w:r w:rsidRPr="00A0256B">
        <w:rPr>
          <w:rFonts w:eastAsia="Times New Roman"/>
          <w:sz w:val="22"/>
          <w:szCs w:val="22"/>
          <w:lang w:eastAsia="ja-JP"/>
        </w:rPr>
        <w:t xml:space="preserve">.  Such Processing activities shall </w:t>
      </w:r>
      <w:r w:rsidR="004E46DE">
        <w:rPr>
          <w:rFonts w:eastAsia="Times New Roman"/>
          <w:sz w:val="22"/>
          <w:szCs w:val="22"/>
          <w:lang w:eastAsia="ja-JP"/>
        </w:rPr>
        <w:t>continue</w:t>
      </w:r>
      <w:r w:rsidRPr="00A0256B">
        <w:rPr>
          <w:rFonts w:eastAsia="Times New Roman"/>
          <w:sz w:val="22"/>
          <w:szCs w:val="22"/>
          <w:lang w:eastAsia="ja-JP"/>
        </w:rPr>
        <w:t xml:space="preserve"> </w:t>
      </w:r>
      <w:r w:rsidR="003B674C">
        <w:rPr>
          <w:rFonts w:eastAsia="Times New Roman"/>
          <w:sz w:val="22"/>
          <w:szCs w:val="22"/>
          <w:lang w:eastAsia="ja-JP"/>
        </w:rPr>
        <w:t>for the term of the provision of Services and for any amount of time thereafter which Company Personal Data is retained</w:t>
      </w:r>
      <w:r w:rsidRPr="00A0256B">
        <w:rPr>
          <w:rFonts w:eastAsia="Times New Roman"/>
          <w:sz w:val="22"/>
          <w:szCs w:val="22"/>
          <w:lang w:eastAsia="ja-JP"/>
        </w:rPr>
        <w:t xml:space="preserve">. </w:t>
      </w:r>
    </w:p>
    <w:p w14:paraId="696283AA" w14:textId="77777777" w:rsidR="00A0256B" w:rsidRPr="00A0256B" w:rsidRDefault="00A0256B" w:rsidP="00A0256B">
      <w:pPr>
        <w:spacing w:after="240"/>
        <w:rPr>
          <w:rFonts w:eastAsia="Times New Roman"/>
          <w:sz w:val="22"/>
          <w:szCs w:val="22"/>
          <w:lang w:eastAsia="ja-JP"/>
        </w:rPr>
      </w:pPr>
      <w:r w:rsidRPr="00A0256B">
        <w:rPr>
          <w:rFonts w:eastAsia="Times New Roman"/>
          <w:sz w:val="22"/>
          <w:szCs w:val="22"/>
          <w:lang w:eastAsia="ja-JP"/>
        </w:rPr>
        <w:br w:type="page"/>
      </w:r>
    </w:p>
    <w:p w14:paraId="0361F504" w14:textId="77777777" w:rsidR="00A0256B" w:rsidRPr="00A0256B" w:rsidRDefault="00A0256B" w:rsidP="00A0256B">
      <w:pPr>
        <w:spacing w:after="200"/>
        <w:jc w:val="center"/>
        <w:outlineLvl w:val="0"/>
        <w:rPr>
          <w:rFonts w:eastAsia="Times New Roman"/>
          <w:b/>
          <w:bCs/>
          <w:kern w:val="28"/>
          <w:sz w:val="22"/>
          <w:szCs w:val="22"/>
          <w:lang w:eastAsia="ja-JP"/>
        </w:rPr>
      </w:pPr>
      <w:r w:rsidRPr="00A0256B">
        <w:rPr>
          <w:rFonts w:eastAsia="Times New Roman"/>
          <w:b/>
          <w:bCs/>
          <w:kern w:val="28"/>
          <w:sz w:val="22"/>
          <w:szCs w:val="22"/>
          <w:lang w:eastAsia="ja-JP"/>
        </w:rPr>
        <w:lastRenderedPageBreak/>
        <w:t>ANNEX 2</w:t>
      </w:r>
    </w:p>
    <w:p w14:paraId="54057B78" w14:textId="77777777" w:rsidR="00847E4B" w:rsidRPr="00847E4B" w:rsidRDefault="00847E4B" w:rsidP="00847E4B">
      <w:pPr>
        <w:spacing w:before="120" w:after="120"/>
        <w:jc w:val="center"/>
        <w:rPr>
          <w:b/>
          <w:noProof/>
          <w:sz w:val="22"/>
          <w:szCs w:val="22"/>
        </w:rPr>
      </w:pPr>
      <w:r w:rsidRPr="00847E4B">
        <w:rPr>
          <w:b/>
          <w:noProof/>
          <w:sz w:val="22"/>
          <w:szCs w:val="22"/>
        </w:rPr>
        <w:t>STANDARD CONTRACTUAL CLAUSES</w:t>
      </w:r>
    </w:p>
    <w:p w14:paraId="715E9B95" w14:textId="77777777" w:rsidR="00847E4B" w:rsidRPr="00847E4B" w:rsidRDefault="00847E4B" w:rsidP="00847E4B">
      <w:pPr>
        <w:spacing w:before="120" w:after="120"/>
        <w:jc w:val="center"/>
        <w:rPr>
          <w:b/>
          <w:noProof/>
          <w:sz w:val="22"/>
          <w:szCs w:val="22"/>
          <w:u w:val="single"/>
        </w:rPr>
      </w:pPr>
      <w:r w:rsidRPr="00847E4B">
        <w:rPr>
          <w:b/>
          <w:noProof/>
          <w:sz w:val="22"/>
          <w:szCs w:val="22"/>
          <w:u w:val="single"/>
        </w:rPr>
        <w:t>SECTION I</w:t>
      </w:r>
    </w:p>
    <w:p w14:paraId="5583A009" w14:textId="77777777" w:rsidR="00847E4B" w:rsidRPr="00847E4B" w:rsidRDefault="00847E4B" w:rsidP="00847E4B">
      <w:pPr>
        <w:keepNext/>
        <w:spacing w:before="480" w:after="120"/>
        <w:jc w:val="center"/>
        <w:rPr>
          <w:i/>
          <w:noProof/>
          <w:sz w:val="22"/>
          <w:szCs w:val="22"/>
        </w:rPr>
      </w:pPr>
      <w:r w:rsidRPr="00847E4B">
        <w:rPr>
          <w:i/>
          <w:noProof/>
          <w:sz w:val="22"/>
          <w:szCs w:val="22"/>
        </w:rPr>
        <w:t>Clause 1</w:t>
      </w:r>
    </w:p>
    <w:p w14:paraId="359F4B51" w14:textId="77777777" w:rsidR="00847E4B" w:rsidRPr="00847E4B" w:rsidRDefault="00847E4B" w:rsidP="00847E4B">
      <w:pPr>
        <w:keepNext/>
        <w:spacing w:before="120" w:after="120"/>
        <w:jc w:val="center"/>
        <w:rPr>
          <w:b/>
          <w:i/>
          <w:noProof/>
          <w:sz w:val="22"/>
          <w:szCs w:val="22"/>
        </w:rPr>
      </w:pPr>
      <w:r w:rsidRPr="00847E4B">
        <w:rPr>
          <w:b/>
          <w:i/>
          <w:noProof/>
          <w:sz w:val="22"/>
          <w:szCs w:val="22"/>
        </w:rPr>
        <w:t xml:space="preserve">Purpose and scope </w:t>
      </w:r>
    </w:p>
    <w:p w14:paraId="3B19384B" w14:textId="77777777" w:rsidR="00847E4B" w:rsidRPr="00847E4B" w:rsidRDefault="00847E4B" w:rsidP="00847E4B">
      <w:pPr>
        <w:numPr>
          <w:ilvl w:val="1"/>
          <w:numId w:val="31"/>
        </w:numPr>
        <w:spacing w:before="120" w:after="120"/>
        <w:jc w:val="both"/>
        <w:rPr>
          <w:noProof/>
          <w:sz w:val="22"/>
          <w:szCs w:val="22"/>
        </w:rPr>
      </w:pPr>
      <w:r w:rsidRPr="00847E4B">
        <w:rPr>
          <w:noProof/>
          <w:sz w:val="22"/>
          <w:szCs w:val="22"/>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5191753A"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Parties:</w:t>
      </w:r>
    </w:p>
    <w:p w14:paraId="544B260F"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the natural or legal person(s), public authority/ies, agency/ies or other body/ies (hereinafter “entity/ies”) transferring the personal data, as listed in Annex I.A. (hereinafter each “data exporter”), and</w:t>
      </w:r>
    </w:p>
    <w:p w14:paraId="61FFEE2E"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the entity/ies in a third country receiving the personal data from the data exporter, directly or indirectly via another entity also Party to these Clauses, as listed in Annex I.A. (hereinafter each “data importer”)</w:t>
      </w:r>
    </w:p>
    <w:p w14:paraId="326147A8" w14:textId="77777777" w:rsidR="00847E4B" w:rsidRPr="00847E4B" w:rsidRDefault="00847E4B" w:rsidP="00847E4B">
      <w:pPr>
        <w:numPr>
          <w:ilvl w:val="1"/>
          <w:numId w:val="0"/>
        </w:numPr>
        <w:spacing w:before="120" w:after="120"/>
        <w:ind w:left="850"/>
        <w:jc w:val="both"/>
        <w:rPr>
          <w:noProof/>
          <w:sz w:val="22"/>
          <w:szCs w:val="22"/>
        </w:rPr>
      </w:pPr>
      <w:r w:rsidRPr="00847E4B">
        <w:rPr>
          <w:noProof/>
          <w:sz w:val="22"/>
          <w:szCs w:val="22"/>
        </w:rPr>
        <w:t xml:space="preserve">have agreed to these standard contractual clauses (hereinafter: “Clauses”). </w:t>
      </w:r>
    </w:p>
    <w:p w14:paraId="5906D5EA"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These Clauses apply with respect to the transfer of personal data as specified in Annex I.B. </w:t>
      </w:r>
    </w:p>
    <w:p w14:paraId="764962B2"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Appendix to these Clauses containing the Annexes referred to therein forms an integral part of these Clauses.</w:t>
      </w:r>
    </w:p>
    <w:p w14:paraId="785C4E0E" w14:textId="77777777" w:rsidR="00847E4B" w:rsidRPr="00847E4B" w:rsidRDefault="00847E4B" w:rsidP="00847E4B">
      <w:pPr>
        <w:keepNext/>
        <w:spacing w:before="480" w:after="120"/>
        <w:jc w:val="center"/>
        <w:rPr>
          <w:i/>
          <w:noProof/>
          <w:sz w:val="22"/>
          <w:szCs w:val="22"/>
        </w:rPr>
      </w:pPr>
      <w:r w:rsidRPr="00847E4B">
        <w:rPr>
          <w:i/>
          <w:noProof/>
          <w:sz w:val="22"/>
          <w:szCs w:val="22"/>
        </w:rPr>
        <w:t>Clause 2</w:t>
      </w:r>
    </w:p>
    <w:p w14:paraId="082B77FC" w14:textId="77777777" w:rsidR="00847E4B" w:rsidRPr="00847E4B" w:rsidRDefault="00847E4B" w:rsidP="00847E4B">
      <w:pPr>
        <w:keepNext/>
        <w:spacing w:before="120" w:after="120"/>
        <w:jc w:val="center"/>
        <w:rPr>
          <w:b/>
          <w:i/>
          <w:noProof/>
          <w:sz w:val="22"/>
          <w:szCs w:val="22"/>
        </w:rPr>
      </w:pPr>
      <w:r w:rsidRPr="00847E4B">
        <w:rPr>
          <w:b/>
          <w:i/>
          <w:noProof/>
          <w:sz w:val="22"/>
          <w:szCs w:val="22"/>
        </w:rPr>
        <w:t>Effect and invariability of the Clauses</w:t>
      </w:r>
    </w:p>
    <w:p w14:paraId="06A6ACA2" w14:textId="77777777" w:rsidR="00847E4B" w:rsidRPr="00847E4B" w:rsidRDefault="00847E4B" w:rsidP="00847E4B">
      <w:pPr>
        <w:numPr>
          <w:ilvl w:val="5"/>
          <w:numId w:val="30"/>
        </w:numPr>
        <w:tabs>
          <w:tab w:val="num" w:pos="851"/>
        </w:tabs>
        <w:spacing w:before="120" w:after="120"/>
        <w:ind w:left="851" w:hanging="851"/>
        <w:jc w:val="both"/>
        <w:rPr>
          <w:noProof/>
          <w:sz w:val="22"/>
          <w:szCs w:val="22"/>
        </w:rPr>
      </w:pPr>
      <w:r w:rsidRPr="00847E4B">
        <w:rPr>
          <w:noProof/>
          <w:sz w:val="22"/>
          <w:szCs w:val="22"/>
        </w:rPr>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 </w:t>
      </w:r>
    </w:p>
    <w:p w14:paraId="43396B2A" w14:textId="77777777" w:rsidR="00847E4B" w:rsidRPr="00847E4B" w:rsidRDefault="00847E4B" w:rsidP="00847E4B">
      <w:pPr>
        <w:numPr>
          <w:ilvl w:val="5"/>
          <w:numId w:val="30"/>
        </w:numPr>
        <w:tabs>
          <w:tab w:val="num" w:pos="851"/>
        </w:tabs>
        <w:spacing w:before="120" w:after="120"/>
        <w:ind w:left="851" w:hanging="851"/>
        <w:jc w:val="both"/>
        <w:rPr>
          <w:noProof/>
          <w:sz w:val="22"/>
          <w:szCs w:val="22"/>
        </w:rPr>
      </w:pPr>
      <w:r w:rsidRPr="00847E4B">
        <w:rPr>
          <w:noProof/>
          <w:sz w:val="22"/>
          <w:szCs w:val="22"/>
        </w:rPr>
        <w:t>These Clauses are without prejudice to obligations to which the data exporter is subject by virtue of Regulation (EU) 2016/679.</w:t>
      </w:r>
    </w:p>
    <w:p w14:paraId="0CD0F976" w14:textId="77777777" w:rsidR="00847E4B" w:rsidRPr="00847E4B" w:rsidRDefault="00847E4B" w:rsidP="00847E4B">
      <w:pPr>
        <w:keepNext/>
        <w:spacing w:before="480" w:after="120"/>
        <w:jc w:val="center"/>
        <w:rPr>
          <w:i/>
          <w:noProof/>
          <w:sz w:val="22"/>
          <w:szCs w:val="22"/>
        </w:rPr>
      </w:pPr>
      <w:r w:rsidRPr="00847E4B">
        <w:rPr>
          <w:i/>
          <w:noProof/>
          <w:sz w:val="22"/>
          <w:szCs w:val="22"/>
        </w:rPr>
        <w:t>Clause 3</w:t>
      </w:r>
    </w:p>
    <w:p w14:paraId="47FED71E" w14:textId="77777777" w:rsidR="00847E4B" w:rsidRPr="00847E4B" w:rsidRDefault="00847E4B" w:rsidP="00847E4B">
      <w:pPr>
        <w:keepNext/>
        <w:spacing w:before="120" w:after="120"/>
        <w:jc w:val="center"/>
        <w:rPr>
          <w:b/>
          <w:i/>
          <w:noProof/>
          <w:sz w:val="22"/>
          <w:szCs w:val="22"/>
        </w:rPr>
      </w:pPr>
      <w:r w:rsidRPr="00847E4B">
        <w:rPr>
          <w:b/>
          <w:i/>
          <w:noProof/>
          <w:sz w:val="22"/>
          <w:szCs w:val="22"/>
        </w:rPr>
        <w:t>Third-party beneficiaries</w:t>
      </w:r>
    </w:p>
    <w:p w14:paraId="168F7D08" w14:textId="77777777" w:rsidR="00847E4B" w:rsidRPr="00847E4B" w:rsidRDefault="00847E4B" w:rsidP="00847E4B">
      <w:pPr>
        <w:numPr>
          <w:ilvl w:val="1"/>
          <w:numId w:val="28"/>
        </w:numPr>
        <w:spacing w:before="120" w:after="120"/>
        <w:jc w:val="both"/>
        <w:rPr>
          <w:noProof/>
          <w:sz w:val="22"/>
          <w:szCs w:val="22"/>
        </w:rPr>
      </w:pPr>
      <w:r w:rsidRPr="00847E4B">
        <w:rPr>
          <w:noProof/>
          <w:sz w:val="22"/>
          <w:szCs w:val="22"/>
        </w:rPr>
        <w:t>Data subjects may invoke and enforce these Clauses, as third-party beneficiaries, against the data exporter and/or data importer, with the following exceptions:</w:t>
      </w:r>
    </w:p>
    <w:p w14:paraId="19BC5B4C"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lastRenderedPageBreak/>
        <w:t>Clause 1, Clause 2, Clause 3, Clause 6, Clause 7;</w:t>
      </w:r>
    </w:p>
    <w:p w14:paraId="6A073FB5"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 xml:space="preserve">Clause 8 - Clause 8.1(b), 8.9(a), (c), (d) and (e); </w:t>
      </w:r>
    </w:p>
    <w:p w14:paraId="3323FF70"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 xml:space="preserve">Clause 9 - Clause 9(a), (c), (d) and (e); </w:t>
      </w:r>
    </w:p>
    <w:p w14:paraId="070B28C2"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Clause 12 - Clause 12(a), (d) and (f);</w:t>
      </w:r>
    </w:p>
    <w:p w14:paraId="52274F60"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Clause 13;</w:t>
      </w:r>
    </w:p>
    <w:p w14:paraId="491CF8DB"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Clause 15.1(c), (d) and (e);</w:t>
      </w:r>
    </w:p>
    <w:p w14:paraId="7783C15F"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Clause 16(e); and</w:t>
      </w:r>
    </w:p>
    <w:p w14:paraId="149E5539"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 xml:space="preserve">Clause 18 - Clause 18(a) and (b); </w:t>
      </w:r>
    </w:p>
    <w:p w14:paraId="19381AFD"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Paragraph (a) is without prejudice to rights of data subjects under Regulation (EU) 2016/679.</w:t>
      </w:r>
    </w:p>
    <w:p w14:paraId="187026FE" w14:textId="77777777" w:rsidR="00847E4B" w:rsidRPr="00847E4B" w:rsidRDefault="00847E4B" w:rsidP="00847E4B">
      <w:pPr>
        <w:keepNext/>
        <w:spacing w:before="480" w:after="120"/>
        <w:jc w:val="center"/>
        <w:rPr>
          <w:i/>
          <w:noProof/>
          <w:sz w:val="22"/>
          <w:szCs w:val="22"/>
        </w:rPr>
      </w:pPr>
      <w:r w:rsidRPr="00847E4B">
        <w:rPr>
          <w:i/>
          <w:noProof/>
          <w:sz w:val="22"/>
          <w:szCs w:val="22"/>
        </w:rPr>
        <w:t>Clause 4</w:t>
      </w:r>
    </w:p>
    <w:p w14:paraId="219491E7"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Interpretation</w:t>
      </w:r>
    </w:p>
    <w:p w14:paraId="5BAE0429" w14:textId="77777777" w:rsidR="00847E4B" w:rsidRPr="00847E4B" w:rsidRDefault="00847E4B" w:rsidP="00847E4B">
      <w:pPr>
        <w:numPr>
          <w:ilvl w:val="1"/>
          <w:numId w:val="14"/>
        </w:numPr>
        <w:spacing w:before="120" w:after="120"/>
        <w:jc w:val="both"/>
        <w:rPr>
          <w:noProof/>
          <w:sz w:val="22"/>
          <w:szCs w:val="22"/>
        </w:rPr>
      </w:pPr>
      <w:r w:rsidRPr="00847E4B">
        <w:rPr>
          <w:noProof/>
          <w:sz w:val="22"/>
          <w:szCs w:val="22"/>
        </w:rPr>
        <w:t>Where these Clauses use terms that are defined in Regulation (EU) 2016/679, those terms shall have the same meaning as in that Regulation.</w:t>
      </w:r>
    </w:p>
    <w:p w14:paraId="3DE2906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These Clauses shall be read and interpreted in the light of the provisions of Regulation (EU) 2016/679.</w:t>
      </w:r>
    </w:p>
    <w:p w14:paraId="37CAB4C2"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These Clauses shall not be interpreted in a way that conflicts with rights and obligations provided for in Regulation (EU) 2016/679. </w:t>
      </w:r>
    </w:p>
    <w:p w14:paraId="76853B2F" w14:textId="77777777" w:rsidR="00847E4B" w:rsidRPr="00847E4B" w:rsidRDefault="00847E4B" w:rsidP="00847E4B">
      <w:pPr>
        <w:keepNext/>
        <w:spacing w:before="480" w:after="120"/>
        <w:jc w:val="center"/>
        <w:rPr>
          <w:i/>
          <w:noProof/>
          <w:sz w:val="22"/>
          <w:szCs w:val="22"/>
        </w:rPr>
      </w:pPr>
      <w:r w:rsidRPr="00847E4B">
        <w:rPr>
          <w:i/>
          <w:noProof/>
          <w:sz w:val="22"/>
          <w:szCs w:val="22"/>
        </w:rPr>
        <w:t>Clause 5</w:t>
      </w:r>
    </w:p>
    <w:p w14:paraId="703C6991"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Hierarchy</w:t>
      </w:r>
    </w:p>
    <w:p w14:paraId="58AAC44E" w14:textId="77777777" w:rsidR="00847E4B" w:rsidRPr="00847E4B" w:rsidRDefault="00847E4B" w:rsidP="00847E4B">
      <w:pPr>
        <w:spacing w:before="120" w:after="120"/>
        <w:jc w:val="both"/>
        <w:rPr>
          <w:noProof/>
          <w:sz w:val="22"/>
          <w:szCs w:val="22"/>
        </w:rPr>
      </w:pPr>
      <w:r w:rsidRPr="00847E4B">
        <w:rPr>
          <w:noProof/>
          <w:sz w:val="22"/>
          <w:szCs w:val="22"/>
        </w:rPr>
        <w:t>In the event of a contradiction between these Clauses and the provisions of related agreements between the Parties, existing at the time these Clauses are agreed or entered into thereafter, these Clauses shall prevail.</w:t>
      </w:r>
    </w:p>
    <w:p w14:paraId="2A39BC14" w14:textId="77777777" w:rsidR="00847E4B" w:rsidRPr="00847E4B" w:rsidRDefault="00847E4B" w:rsidP="00847E4B">
      <w:pPr>
        <w:keepNext/>
        <w:spacing w:before="480" w:after="120"/>
        <w:jc w:val="center"/>
        <w:rPr>
          <w:i/>
          <w:noProof/>
          <w:sz w:val="22"/>
          <w:szCs w:val="22"/>
        </w:rPr>
      </w:pPr>
      <w:r w:rsidRPr="00847E4B">
        <w:rPr>
          <w:i/>
          <w:noProof/>
          <w:sz w:val="22"/>
          <w:szCs w:val="22"/>
        </w:rPr>
        <w:t>Clause 6</w:t>
      </w:r>
    </w:p>
    <w:p w14:paraId="03F119A5"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Description of the transfer(s)</w:t>
      </w:r>
    </w:p>
    <w:p w14:paraId="53718244" w14:textId="77777777" w:rsidR="00847E4B" w:rsidRPr="00847E4B" w:rsidRDefault="00847E4B" w:rsidP="00847E4B">
      <w:pPr>
        <w:spacing w:before="120" w:after="120"/>
        <w:jc w:val="both"/>
        <w:rPr>
          <w:noProof/>
          <w:sz w:val="22"/>
          <w:szCs w:val="22"/>
        </w:rPr>
      </w:pPr>
      <w:r w:rsidRPr="00847E4B">
        <w:rPr>
          <w:noProof/>
          <w:sz w:val="22"/>
          <w:szCs w:val="22"/>
        </w:rPr>
        <w:t>The details of the transfer(s), and in particular the categories of personal data that are transferred and the purpose(s) for which they are transferred, are specified in Annex I.B.</w:t>
      </w:r>
    </w:p>
    <w:p w14:paraId="449F54CD" w14:textId="77777777" w:rsidR="00847E4B" w:rsidRPr="00847E4B" w:rsidRDefault="00847E4B" w:rsidP="00847E4B">
      <w:pPr>
        <w:keepNext/>
        <w:spacing w:before="480" w:after="120"/>
        <w:jc w:val="center"/>
        <w:rPr>
          <w:i/>
          <w:noProof/>
          <w:sz w:val="22"/>
          <w:szCs w:val="22"/>
        </w:rPr>
      </w:pPr>
      <w:r w:rsidRPr="00847E4B">
        <w:rPr>
          <w:i/>
          <w:noProof/>
          <w:sz w:val="22"/>
          <w:szCs w:val="22"/>
        </w:rPr>
        <w:t>Clause 7 - Optional</w:t>
      </w:r>
    </w:p>
    <w:p w14:paraId="2F851E1B"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Docking clause</w:t>
      </w:r>
    </w:p>
    <w:p w14:paraId="20E0BF49" w14:textId="77777777" w:rsidR="00847E4B" w:rsidRPr="00847E4B" w:rsidRDefault="00847E4B" w:rsidP="00847E4B">
      <w:pPr>
        <w:numPr>
          <w:ilvl w:val="1"/>
          <w:numId w:val="15"/>
        </w:numPr>
        <w:spacing w:before="120" w:after="120"/>
        <w:jc w:val="both"/>
        <w:rPr>
          <w:noProof/>
          <w:sz w:val="22"/>
          <w:szCs w:val="22"/>
        </w:rPr>
      </w:pPr>
      <w:r w:rsidRPr="00847E4B">
        <w:rPr>
          <w:noProof/>
          <w:sz w:val="22"/>
          <w:szCs w:val="22"/>
        </w:rPr>
        <w:t xml:space="preserve">An entity that is not a Party to these Clauses may, with the agreement of the Parties, accede to these Clauses at any time, either as a data exporter or as a data importer, by completing the Appendix and signing Annex I.A.  </w:t>
      </w:r>
    </w:p>
    <w:p w14:paraId="69172650"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Once it has completed the Appendix and signed Annex I.A, the acceding entity shall become a Party to these Clauses and have the rights and obligations of a data exporter or data importer in accordance with its designation in Annex I.A.</w:t>
      </w:r>
    </w:p>
    <w:p w14:paraId="3825C040"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lastRenderedPageBreak/>
        <w:t>The acceding entity shall have no rights or obligations arising under these Clauses from the period prior to becoming a Party.</w:t>
      </w:r>
    </w:p>
    <w:p w14:paraId="1B4D3463" w14:textId="77777777" w:rsidR="00847E4B" w:rsidRPr="00847E4B" w:rsidRDefault="00847E4B" w:rsidP="00847E4B">
      <w:pPr>
        <w:spacing w:before="120" w:after="120"/>
        <w:jc w:val="both"/>
        <w:rPr>
          <w:noProof/>
          <w:sz w:val="22"/>
          <w:szCs w:val="22"/>
        </w:rPr>
      </w:pPr>
    </w:p>
    <w:p w14:paraId="7BDF8B55" w14:textId="77777777" w:rsidR="00847E4B" w:rsidRPr="00847E4B" w:rsidRDefault="00847E4B" w:rsidP="00847E4B">
      <w:pPr>
        <w:spacing w:before="120" w:after="120"/>
        <w:jc w:val="center"/>
        <w:rPr>
          <w:b/>
          <w:noProof/>
          <w:sz w:val="22"/>
          <w:szCs w:val="22"/>
          <w:u w:val="single"/>
        </w:rPr>
      </w:pPr>
      <w:r w:rsidRPr="00847E4B">
        <w:rPr>
          <w:b/>
          <w:noProof/>
          <w:sz w:val="22"/>
          <w:szCs w:val="22"/>
          <w:u w:val="single"/>
        </w:rPr>
        <w:t>SECTION II – OBLIGATIONS OF THE PARTIES</w:t>
      </w:r>
    </w:p>
    <w:p w14:paraId="49F1461F" w14:textId="77777777" w:rsidR="00847E4B" w:rsidRPr="00847E4B" w:rsidRDefault="00847E4B" w:rsidP="00847E4B">
      <w:pPr>
        <w:keepNext/>
        <w:spacing w:before="480" w:after="120"/>
        <w:jc w:val="center"/>
        <w:rPr>
          <w:i/>
          <w:noProof/>
          <w:sz w:val="22"/>
          <w:szCs w:val="22"/>
        </w:rPr>
      </w:pPr>
      <w:r w:rsidRPr="00847E4B">
        <w:rPr>
          <w:i/>
          <w:noProof/>
          <w:sz w:val="22"/>
          <w:szCs w:val="22"/>
        </w:rPr>
        <w:t>Clause 8</w:t>
      </w:r>
    </w:p>
    <w:p w14:paraId="481BF20C"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Data protection safeguards</w:t>
      </w:r>
    </w:p>
    <w:p w14:paraId="73218794" w14:textId="77777777" w:rsidR="00847E4B" w:rsidRPr="00847E4B" w:rsidRDefault="00847E4B" w:rsidP="00847E4B">
      <w:pPr>
        <w:spacing w:before="120" w:after="120"/>
        <w:jc w:val="both"/>
        <w:rPr>
          <w:b/>
          <w:noProof/>
          <w:sz w:val="22"/>
          <w:szCs w:val="22"/>
          <w:highlight w:val="magenta"/>
        </w:rPr>
      </w:pPr>
      <w:r w:rsidRPr="00847E4B">
        <w:rPr>
          <w:noProof/>
          <w:sz w:val="22"/>
          <w:szCs w:val="22"/>
        </w:rPr>
        <w:t xml:space="preserve">The data exporter warrants that it has used reasonable efforts to determine that the data importer is able, through the implementation of appropriate technical and organisational measures, to satisfy its obligations under these Clauses. </w:t>
      </w:r>
    </w:p>
    <w:p w14:paraId="685B3512" w14:textId="77777777" w:rsidR="00847E4B" w:rsidRPr="00847E4B" w:rsidRDefault="00847E4B" w:rsidP="00847E4B">
      <w:pPr>
        <w:spacing w:before="240" w:after="120"/>
        <w:ind w:left="851" w:hanging="851"/>
        <w:jc w:val="both"/>
        <w:rPr>
          <w:b/>
          <w:noProof/>
          <w:sz w:val="22"/>
          <w:szCs w:val="22"/>
        </w:rPr>
      </w:pPr>
      <w:r w:rsidRPr="00847E4B">
        <w:rPr>
          <w:b/>
          <w:noProof/>
          <w:sz w:val="22"/>
          <w:szCs w:val="22"/>
        </w:rPr>
        <w:t>8.1</w:t>
      </w:r>
      <w:r w:rsidRPr="00847E4B">
        <w:rPr>
          <w:b/>
          <w:noProof/>
          <w:sz w:val="22"/>
          <w:szCs w:val="22"/>
        </w:rPr>
        <w:tab/>
        <w:t>Instructions</w:t>
      </w:r>
    </w:p>
    <w:p w14:paraId="0E0FDA92" w14:textId="77777777" w:rsidR="00847E4B" w:rsidRPr="00847E4B" w:rsidRDefault="00847E4B" w:rsidP="00847E4B">
      <w:pPr>
        <w:numPr>
          <w:ilvl w:val="1"/>
          <w:numId w:val="16"/>
        </w:numPr>
        <w:spacing w:before="120" w:after="120"/>
        <w:jc w:val="both"/>
        <w:rPr>
          <w:noProof/>
          <w:sz w:val="22"/>
          <w:szCs w:val="22"/>
        </w:rPr>
      </w:pPr>
      <w:r w:rsidRPr="00847E4B">
        <w:rPr>
          <w:noProof/>
          <w:sz w:val="22"/>
          <w:szCs w:val="22"/>
        </w:rPr>
        <w:t>The data importer shall process the personal data only on documented instructions from the data exporter. The data exporter may give such instructions throughout the duration of the contract.</w:t>
      </w:r>
    </w:p>
    <w:p w14:paraId="1140BD27"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data importer shall immediately inform the data exporter if it is unable to follow those instructions. </w:t>
      </w:r>
    </w:p>
    <w:p w14:paraId="7BA537CA"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8.2</w:t>
      </w:r>
      <w:r w:rsidRPr="00847E4B">
        <w:rPr>
          <w:b/>
          <w:noProof/>
          <w:sz w:val="22"/>
          <w:szCs w:val="22"/>
        </w:rPr>
        <w:tab/>
        <w:t>Purpose limitation</w:t>
      </w:r>
    </w:p>
    <w:p w14:paraId="0C5A2A2F" w14:textId="77777777" w:rsidR="00847E4B" w:rsidRPr="00847E4B" w:rsidRDefault="00847E4B" w:rsidP="00847E4B">
      <w:pPr>
        <w:spacing w:before="120" w:after="120"/>
        <w:jc w:val="both"/>
        <w:rPr>
          <w:noProof/>
          <w:sz w:val="22"/>
          <w:szCs w:val="22"/>
        </w:rPr>
      </w:pPr>
      <w:r w:rsidRPr="00847E4B">
        <w:rPr>
          <w:noProof/>
          <w:sz w:val="22"/>
          <w:szCs w:val="22"/>
        </w:rPr>
        <w:t xml:space="preserve">The data importer shall process the personal data only for the specific purpose(s) of the transfer, as set out in Annex I.B, unless on further instructions from the data exporter. </w:t>
      </w:r>
    </w:p>
    <w:p w14:paraId="7A1112D4"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8.3</w:t>
      </w:r>
      <w:r w:rsidRPr="00847E4B">
        <w:rPr>
          <w:b/>
          <w:noProof/>
          <w:sz w:val="22"/>
          <w:szCs w:val="22"/>
        </w:rPr>
        <w:tab/>
        <w:t xml:space="preserve">Transparency </w:t>
      </w:r>
    </w:p>
    <w:p w14:paraId="7C0C5356" w14:textId="77777777" w:rsidR="00847E4B" w:rsidRPr="00847E4B" w:rsidRDefault="00847E4B" w:rsidP="00847E4B">
      <w:pPr>
        <w:spacing w:before="120" w:after="120"/>
        <w:jc w:val="both"/>
        <w:rPr>
          <w:noProof/>
          <w:sz w:val="22"/>
          <w:szCs w:val="22"/>
        </w:rPr>
      </w:pPr>
      <w:r w:rsidRPr="00847E4B">
        <w:rPr>
          <w:noProof/>
          <w:sz w:val="22"/>
          <w:szCs w:val="22"/>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  </w:t>
      </w:r>
    </w:p>
    <w:p w14:paraId="7FE6020D"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8.4</w:t>
      </w:r>
      <w:r w:rsidRPr="00847E4B">
        <w:rPr>
          <w:b/>
          <w:noProof/>
          <w:sz w:val="22"/>
          <w:szCs w:val="22"/>
        </w:rPr>
        <w:tab/>
        <w:t>Accuracy</w:t>
      </w:r>
    </w:p>
    <w:p w14:paraId="35E997A5" w14:textId="77777777" w:rsidR="00847E4B" w:rsidRPr="00847E4B" w:rsidRDefault="00847E4B" w:rsidP="00847E4B">
      <w:pPr>
        <w:spacing w:before="120" w:after="120"/>
        <w:jc w:val="both"/>
        <w:rPr>
          <w:noProof/>
          <w:sz w:val="22"/>
          <w:szCs w:val="22"/>
        </w:rPr>
      </w:pPr>
      <w:r w:rsidRPr="00847E4B">
        <w:rPr>
          <w:noProof/>
          <w:sz w:val="22"/>
          <w:szCs w:val="22"/>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5D6B7692"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8.5</w:t>
      </w:r>
      <w:r w:rsidRPr="00847E4B">
        <w:rPr>
          <w:b/>
          <w:noProof/>
          <w:sz w:val="22"/>
          <w:szCs w:val="22"/>
        </w:rPr>
        <w:tab/>
        <w:t>Duration of processing and erasure or return of data</w:t>
      </w:r>
    </w:p>
    <w:p w14:paraId="7EB0B2E0" w14:textId="77777777" w:rsidR="00847E4B" w:rsidRPr="00847E4B" w:rsidRDefault="00847E4B" w:rsidP="00847E4B">
      <w:pPr>
        <w:spacing w:after="160" w:line="259" w:lineRule="auto"/>
        <w:contextualSpacing/>
        <w:jc w:val="both"/>
        <w:rPr>
          <w:noProof/>
          <w:sz w:val="22"/>
          <w:szCs w:val="22"/>
        </w:rPr>
      </w:pPr>
      <w:r w:rsidRPr="00847E4B">
        <w:rPr>
          <w:noProof/>
          <w:sz w:val="22"/>
          <w:szCs w:val="22"/>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w:t>
      </w:r>
      <w:r w:rsidRPr="00847E4B">
        <w:rPr>
          <w:noProof/>
          <w:sz w:val="22"/>
          <w:szCs w:val="22"/>
        </w:rPr>
        <w:lastRenderedPageBreak/>
        <w:t xml:space="preserve">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 </w:t>
      </w:r>
    </w:p>
    <w:p w14:paraId="5BCB3488"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8.6</w:t>
      </w:r>
      <w:r w:rsidRPr="00847E4B">
        <w:rPr>
          <w:b/>
          <w:noProof/>
          <w:sz w:val="22"/>
          <w:szCs w:val="22"/>
        </w:rPr>
        <w:tab/>
        <w:t>Security of processing</w:t>
      </w:r>
    </w:p>
    <w:p w14:paraId="1DAB3AAC" w14:textId="77777777" w:rsidR="00847E4B" w:rsidRPr="00847E4B" w:rsidRDefault="00847E4B" w:rsidP="00847E4B">
      <w:pPr>
        <w:numPr>
          <w:ilvl w:val="1"/>
          <w:numId w:val="17"/>
        </w:numPr>
        <w:spacing w:before="120" w:after="120"/>
        <w:jc w:val="both"/>
        <w:rPr>
          <w:noProof/>
          <w:sz w:val="22"/>
          <w:szCs w:val="22"/>
        </w:rPr>
      </w:pPr>
      <w:r w:rsidRPr="00847E4B">
        <w:rPr>
          <w:noProof/>
          <w:sz w:val="22"/>
          <w:szCs w:val="22"/>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 </w:t>
      </w:r>
    </w:p>
    <w:p w14:paraId="4CF6963A"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 </w:t>
      </w:r>
    </w:p>
    <w:p w14:paraId="2AEDFC53"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 </w:t>
      </w:r>
    </w:p>
    <w:p w14:paraId="06F5BA0C" w14:textId="77777777" w:rsidR="00847E4B" w:rsidRPr="00847E4B" w:rsidRDefault="00847E4B" w:rsidP="00F01B6A">
      <w:pPr>
        <w:numPr>
          <w:ilvl w:val="1"/>
          <w:numId w:val="30"/>
        </w:numPr>
        <w:spacing w:before="120"/>
        <w:jc w:val="both"/>
        <w:rPr>
          <w:noProof/>
          <w:sz w:val="22"/>
          <w:szCs w:val="22"/>
        </w:rPr>
      </w:pPr>
      <w:r w:rsidRPr="00847E4B">
        <w:rPr>
          <w:noProof/>
          <w:sz w:val="22"/>
          <w:szCs w:val="22"/>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1BEF1330"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8.7</w:t>
      </w:r>
      <w:r w:rsidRPr="00847E4B">
        <w:rPr>
          <w:b/>
          <w:noProof/>
          <w:sz w:val="22"/>
          <w:szCs w:val="22"/>
        </w:rPr>
        <w:tab/>
        <w:t>Sensitive data</w:t>
      </w:r>
    </w:p>
    <w:p w14:paraId="3DBFCE16" w14:textId="77777777" w:rsidR="00847E4B" w:rsidRPr="00847E4B" w:rsidRDefault="00847E4B" w:rsidP="00847E4B">
      <w:pPr>
        <w:spacing w:after="160" w:line="259" w:lineRule="auto"/>
        <w:contextualSpacing/>
        <w:jc w:val="both"/>
        <w:rPr>
          <w:noProof/>
          <w:sz w:val="22"/>
          <w:szCs w:val="22"/>
        </w:rPr>
      </w:pPr>
      <w:r w:rsidRPr="00847E4B">
        <w:rPr>
          <w:noProof/>
          <w:sz w:val="22"/>
          <w:szCs w:val="22"/>
        </w:rPr>
        <w:t xml:space="preserve">Where the transfer involves personal data revealing racial or ethnic origin, political opinions, religious or philosophical beliefs, or trade union membership, genetic data, or biometric data for the purpose of uniquely </w:t>
      </w:r>
      <w:r w:rsidRPr="00847E4B">
        <w:rPr>
          <w:noProof/>
          <w:sz w:val="22"/>
          <w:szCs w:val="22"/>
        </w:rPr>
        <w:lastRenderedPageBreak/>
        <w:t>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0251FDEF"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8.8</w:t>
      </w:r>
      <w:r w:rsidRPr="00847E4B">
        <w:rPr>
          <w:b/>
          <w:noProof/>
          <w:sz w:val="22"/>
          <w:szCs w:val="22"/>
        </w:rPr>
        <w:tab/>
        <w:t>Onward transfers</w:t>
      </w:r>
    </w:p>
    <w:p w14:paraId="1E87686F" w14:textId="77777777" w:rsidR="00847E4B" w:rsidRPr="00847E4B" w:rsidRDefault="00847E4B" w:rsidP="00847E4B">
      <w:pPr>
        <w:spacing w:after="120" w:line="259" w:lineRule="auto"/>
        <w:jc w:val="both"/>
        <w:rPr>
          <w:noProof/>
          <w:sz w:val="22"/>
          <w:szCs w:val="22"/>
        </w:rPr>
      </w:pPr>
      <w:r w:rsidRPr="00847E4B">
        <w:rPr>
          <w:noProof/>
          <w:sz w:val="22"/>
          <w:szCs w:val="22"/>
        </w:rPr>
        <w:t xml:space="preserve">The data importer shall only disclose the personal data to a third party on documented instructions from the data exporter. In addition, the data may only be disclosed to a third party located outside the European Union (in the same country as the data importer or in another third country, hereinafter “onward transfer”) if the third party is or agrees to be bound by these Clauses, under the appropriate Module, or if: </w:t>
      </w:r>
    </w:p>
    <w:p w14:paraId="4BBE1D0D"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 xml:space="preserve">the onward transfer is to a country benefitting from an adequacy decision pursuant to Article 45 of Regulation (EU) 2016/679 that covers the onward transfer; </w:t>
      </w:r>
    </w:p>
    <w:p w14:paraId="576D6B71"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the third party otherwise ensures appropriate safeguards pursuant to Articles 46 or 47 Regulation of (EU) 2016/679 with respect to the processing in question;</w:t>
      </w:r>
    </w:p>
    <w:p w14:paraId="1BBFA139"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the onward transfer is necessary for the establishment, exercise or defence of legal claims in the context of specific administrative, regulatory or judicial proceedings; or</w:t>
      </w:r>
    </w:p>
    <w:p w14:paraId="2198D303"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the onward transfer is necessary in order to protect the vital interests of the data subject or of another natural person.</w:t>
      </w:r>
    </w:p>
    <w:p w14:paraId="7EE3E29E" w14:textId="77777777" w:rsidR="00847E4B" w:rsidRPr="00847E4B" w:rsidRDefault="00847E4B" w:rsidP="00847E4B">
      <w:pPr>
        <w:spacing w:after="160" w:line="259" w:lineRule="auto"/>
        <w:contextualSpacing/>
        <w:jc w:val="both"/>
        <w:rPr>
          <w:noProof/>
          <w:sz w:val="22"/>
          <w:szCs w:val="22"/>
        </w:rPr>
      </w:pPr>
      <w:r w:rsidRPr="00847E4B">
        <w:rPr>
          <w:noProof/>
          <w:sz w:val="22"/>
          <w:szCs w:val="22"/>
        </w:rPr>
        <w:t>Any onward transfer is subject to compliance by the data importer with all the other safeguards under these Clauses, in particular purpose limitation.</w:t>
      </w:r>
    </w:p>
    <w:p w14:paraId="0779C103"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8.9</w:t>
      </w:r>
      <w:r w:rsidRPr="00847E4B">
        <w:rPr>
          <w:b/>
          <w:noProof/>
          <w:sz w:val="22"/>
          <w:szCs w:val="22"/>
        </w:rPr>
        <w:tab/>
        <w:t>Documentation and compliance</w:t>
      </w:r>
    </w:p>
    <w:p w14:paraId="64EE3C12" w14:textId="77777777" w:rsidR="00847E4B" w:rsidRPr="00847E4B" w:rsidRDefault="00847E4B" w:rsidP="00847E4B">
      <w:pPr>
        <w:numPr>
          <w:ilvl w:val="1"/>
          <w:numId w:val="18"/>
        </w:numPr>
        <w:spacing w:before="120" w:after="120"/>
        <w:jc w:val="both"/>
        <w:rPr>
          <w:noProof/>
          <w:sz w:val="22"/>
          <w:szCs w:val="22"/>
        </w:rPr>
      </w:pPr>
      <w:r w:rsidRPr="00847E4B">
        <w:rPr>
          <w:noProof/>
          <w:sz w:val="22"/>
          <w:szCs w:val="22"/>
        </w:rPr>
        <w:t xml:space="preserve">The data importer shall promptly and adequately deal with enquiries from the data exporter that relate to the processing under these Clauses. </w:t>
      </w:r>
    </w:p>
    <w:p w14:paraId="2283704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Parties shall be able to demonstrate compliance with these Clauses. In particular, the data importer shall keep appropriate documentation on the processing activities carried out on behalf of the data exporter.</w:t>
      </w:r>
    </w:p>
    <w:p w14:paraId="277749A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   </w:t>
      </w:r>
    </w:p>
    <w:p w14:paraId="2651812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data exporter may choose to conduct the audit by itself or mandate an independent auditor. Audits may include inspections at the premises or physical facilities of the data importer and shall, where appropriate, be carried out with reasonable notice. </w:t>
      </w:r>
    </w:p>
    <w:p w14:paraId="1FD4AE2E"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Parties shall make the information referred to in paragraphs (b) and (c), including the results of any audits, available to the competent supervisory authority on request.</w:t>
      </w:r>
    </w:p>
    <w:p w14:paraId="3D2ADB99" w14:textId="77777777" w:rsidR="00847E4B" w:rsidRPr="00847E4B" w:rsidRDefault="00847E4B" w:rsidP="00847E4B">
      <w:pPr>
        <w:keepNext/>
        <w:spacing w:before="480" w:after="120"/>
        <w:jc w:val="center"/>
        <w:rPr>
          <w:i/>
          <w:noProof/>
          <w:sz w:val="22"/>
          <w:szCs w:val="22"/>
        </w:rPr>
      </w:pPr>
      <w:r w:rsidRPr="00847E4B">
        <w:rPr>
          <w:i/>
          <w:noProof/>
          <w:sz w:val="22"/>
          <w:szCs w:val="22"/>
        </w:rPr>
        <w:t>Clause 9</w:t>
      </w:r>
    </w:p>
    <w:p w14:paraId="303761F6" w14:textId="77777777" w:rsidR="00847E4B" w:rsidRPr="00847E4B" w:rsidRDefault="00847E4B" w:rsidP="00847E4B">
      <w:pPr>
        <w:numPr>
          <w:ilvl w:val="1"/>
          <w:numId w:val="0"/>
        </w:numPr>
        <w:spacing w:before="120" w:after="120"/>
        <w:jc w:val="center"/>
        <w:rPr>
          <w:noProof/>
          <w:sz w:val="22"/>
          <w:szCs w:val="22"/>
        </w:rPr>
      </w:pPr>
      <w:r w:rsidRPr="00847E4B">
        <w:rPr>
          <w:b/>
          <w:i/>
          <w:noProof/>
          <w:sz w:val="22"/>
          <w:szCs w:val="22"/>
        </w:rPr>
        <w:t>Use of sub-processors</w:t>
      </w:r>
    </w:p>
    <w:p w14:paraId="57B5EAFD" w14:textId="71F439A6" w:rsidR="00847E4B" w:rsidRPr="00847E4B" w:rsidRDefault="00847E4B" w:rsidP="00847E4B">
      <w:pPr>
        <w:numPr>
          <w:ilvl w:val="1"/>
          <w:numId w:val="22"/>
        </w:numPr>
        <w:spacing w:before="120" w:after="120"/>
        <w:jc w:val="both"/>
        <w:rPr>
          <w:noProof/>
          <w:sz w:val="22"/>
          <w:szCs w:val="22"/>
        </w:rPr>
      </w:pPr>
      <w:r w:rsidRPr="00847E4B">
        <w:rPr>
          <w:noProof/>
          <w:sz w:val="22"/>
          <w:szCs w:val="22"/>
        </w:rPr>
        <w:t xml:space="preserve">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w:t>
      </w:r>
      <w:r w:rsidRPr="00847E4B">
        <w:rPr>
          <w:noProof/>
          <w:sz w:val="22"/>
          <w:szCs w:val="22"/>
        </w:rPr>
        <w:lastRenderedPageBreak/>
        <w:t xml:space="preserve">at least </w:t>
      </w:r>
      <w:r w:rsidR="00527F3A">
        <w:rPr>
          <w:noProof/>
          <w:sz w:val="22"/>
          <w:szCs w:val="22"/>
        </w:rPr>
        <w:t>fif</w:t>
      </w:r>
      <w:r w:rsidRPr="00847E4B">
        <w:rPr>
          <w:noProof/>
          <w:sz w:val="22"/>
          <w:szCs w:val="22"/>
        </w:rPr>
        <w:t>t</w:t>
      </w:r>
      <w:r w:rsidR="00527F3A">
        <w:rPr>
          <w:noProof/>
          <w:sz w:val="22"/>
          <w:szCs w:val="22"/>
        </w:rPr>
        <w:t>e</w:t>
      </w:r>
      <w:r w:rsidRPr="00847E4B">
        <w:rPr>
          <w:noProof/>
          <w:sz w:val="22"/>
          <w:szCs w:val="22"/>
        </w:rPr>
        <w:t>en (1</w:t>
      </w:r>
      <w:r w:rsidR="00527F3A">
        <w:rPr>
          <w:noProof/>
          <w:sz w:val="22"/>
          <w:szCs w:val="22"/>
        </w:rPr>
        <w:t>5</w:t>
      </w:r>
      <w:r w:rsidRPr="00847E4B">
        <w:rPr>
          <w:noProof/>
          <w:sz w:val="22"/>
          <w:szCs w:val="22"/>
        </w:rPr>
        <w:t xml:space="preserve">)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 </w:t>
      </w:r>
    </w:p>
    <w:p w14:paraId="7904D6D4"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Clause 8.8. The data importer shall ensure that the sub-processor complies with the obligations to which the data importer is subject pursuant to these Clauses.</w:t>
      </w:r>
    </w:p>
    <w:p w14:paraId="49B28AEF"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6188DFD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 </w:t>
      </w:r>
    </w:p>
    <w:p w14:paraId="5B004652"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3496A45C" w14:textId="77777777" w:rsidR="00847E4B" w:rsidRPr="00847E4B" w:rsidRDefault="00847E4B" w:rsidP="00847E4B">
      <w:pPr>
        <w:keepNext/>
        <w:spacing w:before="480" w:after="120"/>
        <w:jc w:val="center"/>
        <w:rPr>
          <w:i/>
          <w:noProof/>
          <w:sz w:val="22"/>
          <w:szCs w:val="22"/>
        </w:rPr>
      </w:pPr>
      <w:r w:rsidRPr="00847E4B">
        <w:rPr>
          <w:i/>
          <w:noProof/>
          <w:sz w:val="22"/>
          <w:szCs w:val="22"/>
        </w:rPr>
        <w:t>Clause 10</w:t>
      </w:r>
    </w:p>
    <w:p w14:paraId="122C3ED5"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Data subject rights</w:t>
      </w:r>
    </w:p>
    <w:p w14:paraId="467329F3" w14:textId="77777777" w:rsidR="00847E4B" w:rsidRPr="00847E4B" w:rsidRDefault="00847E4B" w:rsidP="00847E4B">
      <w:pPr>
        <w:numPr>
          <w:ilvl w:val="1"/>
          <w:numId w:val="23"/>
        </w:numPr>
        <w:spacing w:before="240" w:after="120"/>
        <w:jc w:val="both"/>
        <w:rPr>
          <w:noProof/>
          <w:sz w:val="22"/>
          <w:szCs w:val="22"/>
        </w:rPr>
      </w:pPr>
      <w:r w:rsidRPr="00847E4B">
        <w:rPr>
          <w:noProof/>
          <w:sz w:val="22"/>
          <w:szCs w:val="22"/>
        </w:rPr>
        <w:t>The data importer shall promptly notify the data exporter of any request it has received from a data subject. It shall not respond to that request itself unless it has been authorised to do so by the data exporter.</w:t>
      </w:r>
    </w:p>
    <w:p w14:paraId="584A4677" w14:textId="77777777" w:rsidR="00847E4B" w:rsidRDefault="00847E4B" w:rsidP="00847E4B">
      <w:pPr>
        <w:numPr>
          <w:ilvl w:val="1"/>
          <w:numId w:val="30"/>
        </w:numPr>
        <w:spacing w:before="120" w:after="120"/>
        <w:jc w:val="both"/>
        <w:rPr>
          <w:noProof/>
          <w:sz w:val="22"/>
          <w:szCs w:val="22"/>
        </w:rPr>
      </w:pPr>
      <w:r w:rsidRPr="00847E4B">
        <w:rPr>
          <w:noProof/>
          <w:sz w:val="22"/>
          <w:szCs w:val="22"/>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 </w:t>
      </w:r>
    </w:p>
    <w:p w14:paraId="398B4C64" w14:textId="754E4F6F" w:rsidR="00847E4B" w:rsidRPr="00847E4B" w:rsidRDefault="00847E4B" w:rsidP="00847E4B">
      <w:pPr>
        <w:numPr>
          <w:ilvl w:val="1"/>
          <w:numId w:val="30"/>
        </w:numPr>
        <w:spacing w:before="120" w:after="120"/>
        <w:jc w:val="both"/>
        <w:rPr>
          <w:noProof/>
          <w:sz w:val="22"/>
          <w:szCs w:val="22"/>
        </w:rPr>
      </w:pPr>
      <w:r w:rsidRPr="00847E4B">
        <w:rPr>
          <w:noProof/>
          <w:sz w:val="22"/>
          <w:szCs w:val="22"/>
        </w:rPr>
        <w:t>In fulfilling its obligations under paragraphs (a) and (b), the data importer shall comply with the instructions from the data exporter.</w:t>
      </w:r>
    </w:p>
    <w:p w14:paraId="2FFE59AB" w14:textId="77777777" w:rsidR="00847E4B" w:rsidRPr="00847E4B" w:rsidRDefault="00847E4B" w:rsidP="00847E4B">
      <w:pPr>
        <w:keepNext/>
        <w:spacing w:before="480" w:after="120"/>
        <w:jc w:val="center"/>
        <w:rPr>
          <w:i/>
          <w:noProof/>
          <w:sz w:val="22"/>
          <w:szCs w:val="22"/>
        </w:rPr>
      </w:pPr>
      <w:r w:rsidRPr="00847E4B">
        <w:rPr>
          <w:i/>
          <w:noProof/>
          <w:sz w:val="22"/>
          <w:szCs w:val="22"/>
        </w:rPr>
        <w:t>Clause 11</w:t>
      </w:r>
    </w:p>
    <w:p w14:paraId="4BC2B795"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Redress</w:t>
      </w:r>
    </w:p>
    <w:p w14:paraId="0809AD64" w14:textId="77777777" w:rsidR="00847E4B" w:rsidRPr="00847E4B" w:rsidRDefault="00847E4B" w:rsidP="00847E4B">
      <w:pPr>
        <w:numPr>
          <w:ilvl w:val="1"/>
          <w:numId w:val="24"/>
        </w:numPr>
        <w:spacing w:before="120" w:after="120"/>
        <w:jc w:val="both"/>
        <w:rPr>
          <w:noProof/>
          <w:sz w:val="22"/>
          <w:szCs w:val="22"/>
        </w:rPr>
      </w:pPr>
      <w:r w:rsidRPr="00847E4B">
        <w:rPr>
          <w:noProof/>
          <w:sz w:val="22"/>
          <w:szCs w:val="22"/>
        </w:rPr>
        <w:t xml:space="preserve">The data importer shall inform data subjects in a transparent and easily accessible format, through individual notice or on its website, of a contact point authorised to handle complaints. It shall deal promptly with any complaints it receives from a data subject. </w:t>
      </w:r>
    </w:p>
    <w:p w14:paraId="764D9C22" w14:textId="77777777" w:rsidR="00847E4B" w:rsidRPr="00847E4B" w:rsidRDefault="00847E4B" w:rsidP="00847E4B">
      <w:pPr>
        <w:numPr>
          <w:ilvl w:val="1"/>
          <w:numId w:val="24"/>
        </w:numPr>
        <w:spacing w:before="240" w:after="120"/>
        <w:jc w:val="both"/>
        <w:rPr>
          <w:noProof/>
          <w:sz w:val="22"/>
          <w:szCs w:val="22"/>
        </w:rPr>
      </w:pPr>
      <w:r w:rsidRPr="00847E4B">
        <w:rPr>
          <w:noProof/>
          <w:sz w:val="22"/>
          <w:szCs w:val="22"/>
        </w:rPr>
        <w:lastRenderedPageBreak/>
        <w:t xml:space="preserve">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   </w:t>
      </w:r>
    </w:p>
    <w:p w14:paraId="1A6BB725"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Where the data subject invokes a third-party beneficiary right pursuant to Clause 3, the data importer shall accept the decision of the data subject to: </w:t>
      </w:r>
    </w:p>
    <w:p w14:paraId="315DC469" w14:textId="77777777" w:rsidR="00847E4B" w:rsidRPr="00847E4B" w:rsidRDefault="00847E4B" w:rsidP="00847E4B">
      <w:pPr>
        <w:widowControl w:val="0"/>
        <w:numPr>
          <w:ilvl w:val="3"/>
          <w:numId w:val="30"/>
        </w:numPr>
        <w:spacing w:before="120" w:after="120"/>
        <w:ind w:left="1412" w:hanging="562"/>
        <w:jc w:val="both"/>
        <w:rPr>
          <w:noProof/>
          <w:sz w:val="22"/>
          <w:szCs w:val="22"/>
        </w:rPr>
      </w:pPr>
      <w:r w:rsidRPr="00847E4B">
        <w:rPr>
          <w:noProof/>
          <w:sz w:val="22"/>
          <w:szCs w:val="22"/>
        </w:rPr>
        <w:t>lodge a complaint with the supervisory authority in the Member State of his/her habitual residence or place of work, or the competent supervisory authority pursuant to Clause 13;</w:t>
      </w:r>
    </w:p>
    <w:p w14:paraId="7544ABEF"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refer the dispute to the competent courts within the meaning of Clause 18.</w:t>
      </w:r>
    </w:p>
    <w:p w14:paraId="6684EE14"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Parties accept that the data subject may be represented by a not-for-profit body, organisation or association under the conditions set out in Article 80(1) of Regulation (EU) 2016/679. </w:t>
      </w:r>
    </w:p>
    <w:p w14:paraId="14AE51A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importer shall abide by a decision that is binding under the applicable EU or Member State law.</w:t>
      </w:r>
    </w:p>
    <w:p w14:paraId="7E7F4C14"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importer agrees that the choice made by the data subject will not prejudice his/her substantive and procedural rights to seek remedies in accordance with applicable laws.</w:t>
      </w:r>
    </w:p>
    <w:p w14:paraId="7496A85A" w14:textId="77777777" w:rsidR="00847E4B" w:rsidRPr="00847E4B" w:rsidRDefault="00847E4B" w:rsidP="00847E4B">
      <w:pPr>
        <w:keepNext/>
        <w:spacing w:before="480" w:after="120"/>
        <w:jc w:val="center"/>
        <w:rPr>
          <w:i/>
          <w:noProof/>
          <w:sz w:val="22"/>
          <w:szCs w:val="22"/>
        </w:rPr>
      </w:pPr>
      <w:r w:rsidRPr="00847E4B">
        <w:rPr>
          <w:i/>
          <w:noProof/>
          <w:sz w:val="22"/>
          <w:szCs w:val="22"/>
        </w:rPr>
        <w:t>Clause 12</w:t>
      </w:r>
    </w:p>
    <w:p w14:paraId="52C58618" w14:textId="77777777" w:rsidR="00847E4B" w:rsidRPr="00847E4B" w:rsidRDefault="00847E4B" w:rsidP="00847E4B">
      <w:pPr>
        <w:numPr>
          <w:ilvl w:val="1"/>
          <w:numId w:val="0"/>
        </w:numPr>
        <w:spacing w:before="120" w:after="120"/>
        <w:jc w:val="center"/>
        <w:rPr>
          <w:b/>
          <w:noProof/>
          <w:sz w:val="22"/>
          <w:szCs w:val="22"/>
          <w:highlight w:val="lightGray"/>
        </w:rPr>
      </w:pPr>
      <w:r w:rsidRPr="00847E4B">
        <w:rPr>
          <w:b/>
          <w:i/>
          <w:noProof/>
          <w:sz w:val="22"/>
          <w:szCs w:val="22"/>
        </w:rPr>
        <w:t>Liability</w:t>
      </w:r>
    </w:p>
    <w:p w14:paraId="7EB63B3B" w14:textId="77777777" w:rsidR="00847E4B" w:rsidRPr="00847E4B" w:rsidRDefault="00847E4B" w:rsidP="00847E4B">
      <w:pPr>
        <w:numPr>
          <w:ilvl w:val="1"/>
          <w:numId w:val="25"/>
        </w:numPr>
        <w:spacing w:before="240" w:after="120"/>
        <w:jc w:val="both"/>
        <w:rPr>
          <w:noProof/>
          <w:sz w:val="22"/>
          <w:szCs w:val="22"/>
        </w:rPr>
      </w:pPr>
      <w:r w:rsidRPr="00847E4B">
        <w:rPr>
          <w:noProof/>
          <w:sz w:val="22"/>
          <w:szCs w:val="22"/>
        </w:rPr>
        <w:t xml:space="preserve">Each Party shall be liable to the other Party/ies for any damages it causes the other Party/ies by any breach of these Clauses. </w:t>
      </w:r>
    </w:p>
    <w:p w14:paraId="300B3195"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 </w:t>
      </w:r>
    </w:p>
    <w:p w14:paraId="3879F161"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392DDE52"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2FB6BF97"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10E0C87E"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Parties agree that if one Party is held liable under paragraph (e), it shall be entitled to claim back from the other Party/ies that part of the compensation corresponding to its / their responsibility for the damage.</w:t>
      </w:r>
    </w:p>
    <w:p w14:paraId="1A784BF0"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importer may not invoke the conduct of a sub-processor to avoid its own liability.</w:t>
      </w:r>
    </w:p>
    <w:p w14:paraId="1405F894" w14:textId="77777777" w:rsidR="00847E4B" w:rsidRPr="00847E4B" w:rsidRDefault="00847E4B" w:rsidP="00847E4B">
      <w:pPr>
        <w:keepNext/>
        <w:spacing w:before="480" w:after="120"/>
        <w:jc w:val="center"/>
        <w:rPr>
          <w:i/>
          <w:noProof/>
          <w:sz w:val="22"/>
          <w:szCs w:val="22"/>
        </w:rPr>
      </w:pPr>
      <w:r w:rsidRPr="00847E4B">
        <w:rPr>
          <w:i/>
          <w:noProof/>
          <w:sz w:val="22"/>
          <w:szCs w:val="22"/>
        </w:rPr>
        <w:lastRenderedPageBreak/>
        <w:t>Clause 13</w:t>
      </w:r>
    </w:p>
    <w:p w14:paraId="441DF6B2"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Supervision</w:t>
      </w:r>
    </w:p>
    <w:p w14:paraId="4C8DD598" w14:textId="77777777" w:rsidR="00847E4B" w:rsidRPr="00847E4B" w:rsidRDefault="00847E4B" w:rsidP="00847E4B">
      <w:pPr>
        <w:numPr>
          <w:ilvl w:val="1"/>
          <w:numId w:val="26"/>
        </w:numPr>
        <w:spacing w:before="120" w:after="120"/>
        <w:jc w:val="both"/>
        <w:rPr>
          <w:noProof/>
          <w:sz w:val="22"/>
          <w:szCs w:val="22"/>
        </w:rPr>
      </w:pPr>
      <w:r w:rsidRPr="00847E4B" w:rsidDel="008742DC">
        <w:rPr>
          <w:noProof/>
          <w:sz w:val="22"/>
          <w:szCs w:val="22"/>
        </w:rPr>
        <w:t xml:space="preserve"> </w:t>
      </w:r>
      <w:r w:rsidRPr="00847E4B">
        <w:rPr>
          <w:noProof/>
          <w:sz w:val="22"/>
          <w:szCs w:val="22"/>
        </w:rPr>
        <w:t xml:space="preserve">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 </w:t>
      </w:r>
    </w:p>
    <w:p w14:paraId="7847F445" w14:textId="77777777" w:rsidR="00847E4B" w:rsidRPr="00847E4B" w:rsidRDefault="00847E4B" w:rsidP="00847E4B">
      <w:pPr>
        <w:numPr>
          <w:ilvl w:val="1"/>
          <w:numId w:val="30"/>
        </w:numPr>
        <w:spacing w:before="120" w:after="120"/>
        <w:jc w:val="both"/>
        <w:rPr>
          <w:b/>
          <w:noProof/>
          <w:sz w:val="22"/>
          <w:szCs w:val="22"/>
          <w:u w:val="single"/>
        </w:rPr>
      </w:pPr>
      <w:r w:rsidRPr="00847E4B">
        <w:rPr>
          <w:noProof/>
          <w:sz w:val="22"/>
          <w:szCs w:val="22"/>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7B72E2EA" w14:textId="77777777" w:rsidR="00847E4B" w:rsidRPr="00847E4B" w:rsidRDefault="00847E4B" w:rsidP="00847E4B">
      <w:pPr>
        <w:spacing w:before="120" w:after="120"/>
        <w:jc w:val="center"/>
        <w:rPr>
          <w:b/>
          <w:noProof/>
          <w:sz w:val="22"/>
          <w:szCs w:val="22"/>
          <w:u w:val="single"/>
        </w:rPr>
      </w:pPr>
    </w:p>
    <w:p w14:paraId="017821EC" w14:textId="77777777" w:rsidR="00847E4B" w:rsidRPr="00847E4B" w:rsidRDefault="00847E4B" w:rsidP="00847E4B">
      <w:pPr>
        <w:spacing w:before="120" w:after="120"/>
        <w:jc w:val="center"/>
        <w:rPr>
          <w:b/>
          <w:noProof/>
          <w:sz w:val="22"/>
          <w:szCs w:val="22"/>
          <w:u w:val="single"/>
        </w:rPr>
      </w:pPr>
      <w:r w:rsidRPr="00847E4B">
        <w:rPr>
          <w:b/>
          <w:noProof/>
          <w:sz w:val="22"/>
          <w:szCs w:val="22"/>
          <w:u w:val="single"/>
        </w:rPr>
        <w:t>SECTION III – LOCAL LAWS AND OBLIGATIONS IN CASE OF ACCESS BY PUBLIC AUTHORITIES</w:t>
      </w:r>
    </w:p>
    <w:p w14:paraId="78BA1866" w14:textId="77777777" w:rsidR="00847E4B" w:rsidRPr="00847E4B" w:rsidRDefault="00847E4B" w:rsidP="00847E4B">
      <w:pPr>
        <w:keepNext/>
        <w:spacing w:before="480" w:after="120"/>
        <w:jc w:val="center"/>
        <w:rPr>
          <w:i/>
          <w:noProof/>
          <w:sz w:val="22"/>
          <w:szCs w:val="22"/>
        </w:rPr>
      </w:pPr>
      <w:r w:rsidRPr="00847E4B">
        <w:rPr>
          <w:i/>
          <w:noProof/>
          <w:sz w:val="22"/>
          <w:szCs w:val="22"/>
        </w:rPr>
        <w:t>Clause 14</w:t>
      </w:r>
    </w:p>
    <w:p w14:paraId="1646EDB4"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Local laws and practices affecting compliance with the Clauses</w:t>
      </w:r>
    </w:p>
    <w:p w14:paraId="3A19DFF1" w14:textId="77777777" w:rsidR="00847E4B" w:rsidRPr="00847E4B" w:rsidRDefault="00847E4B" w:rsidP="00847E4B">
      <w:pPr>
        <w:numPr>
          <w:ilvl w:val="1"/>
          <w:numId w:val="19"/>
        </w:numPr>
        <w:spacing w:before="240" w:after="120"/>
        <w:jc w:val="both"/>
        <w:rPr>
          <w:noProof/>
          <w:sz w:val="22"/>
          <w:szCs w:val="22"/>
        </w:rPr>
      </w:pPr>
      <w:r w:rsidRPr="00847E4B">
        <w:rPr>
          <w:noProof/>
          <w:sz w:val="22"/>
          <w:szCs w:val="22"/>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0DB0FA51"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Parties declare</w:t>
      </w:r>
      <w:r w:rsidRPr="00847E4B">
        <w:rPr>
          <w:noProof/>
          <w:sz w:val="22"/>
          <w:szCs w:val="22"/>
          <w:lang w:eastAsia="en-GB"/>
        </w:rPr>
        <w:t xml:space="preserve"> that in providing the warranty in paragraph (a), they have taken due account in particular of the following elements:</w:t>
      </w:r>
    </w:p>
    <w:p w14:paraId="597FC021" w14:textId="77777777" w:rsidR="00847E4B" w:rsidRPr="00847E4B" w:rsidRDefault="00847E4B" w:rsidP="00847E4B">
      <w:pPr>
        <w:numPr>
          <w:ilvl w:val="3"/>
          <w:numId w:val="30"/>
        </w:numPr>
        <w:spacing w:before="120" w:after="120"/>
        <w:jc w:val="both"/>
        <w:rPr>
          <w:noProof/>
          <w:sz w:val="22"/>
          <w:szCs w:val="22"/>
          <w:lang w:eastAsia="en-GB"/>
        </w:rPr>
      </w:pPr>
      <w:r w:rsidRPr="00847E4B">
        <w:rPr>
          <w:noProof/>
          <w:sz w:val="22"/>
          <w:szCs w:val="22"/>
          <w:lang w:eastAsia="en-GB"/>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r w:rsidRPr="00847E4B">
        <w:rPr>
          <w:noProof/>
          <w:sz w:val="22"/>
          <w:szCs w:val="22"/>
        </w:rPr>
        <w:t xml:space="preserve">; </w:t>
      </w:r>
    </w:p>
    <w:p w14:paraId="14FA8F80" w14:textId="77777777" w:rsidR="00847E4B" w:rsidRPr="00847E4B" w:rsidRDefault="00847E4B" w:rsidP="00847E4B">
      <w:pPr>
        <w:numPr>
          <w:ilvl w:val="3"/>
          <w:numId w:val="30"/>
        </w:numPr>
        <w:spacing w:before="120" w:after="120"/>
        <w:jc w:val="both"/>
        <w:rPr>
          <w:noProof/>
          <w:sz w:val="22"/>
          <w:szCs w:val="22"/>
          <w:lang w:eastAsia="en-GB"/>
        </w:rPr>
      </w:pPr>
      <w:r w:rsidRPr="00847E4B">
        <w:rPr>
          <w:noProof/>
          <w:sz w:val="22"/>
          <w:szCs w:val="22"/>
          <w:lang w:eastAsia="en-GB"/>
        </w:rPr>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p>
    <w:p w14:paraId="6B5FEF59" w14:textId="77777777" w:rsidR="00847E4B" w:rsidRPr="00847E4B" w:rsidRDefault="00847E4B" w:rsidP="00847E4B">
      <w:pPr>
        <w:numPr>
          <w:ilvl w:val="3"/>
          <w:numId w:val="30"/>
        </w:numPr>
        <w:spacing w:before="120" w:after="120"/>
        <w:jc w:val="both"/>
        <w:rPr>
          <w:noProof/>
          <w:sz w:val="22"/>
          <w:szCs w:val="22"/>
          <w:lang w:eastAsia="en-GB"/>
        </w:rPr>
      </w:pPr>
      <w:r w:rsidRPr="00847E4B">
        <w:rPr>
          <w:noProof/>
          <w:sz w:val="22"/>
          <w:szCs w:val="22"/>
          <w:lang w:eastAsia="en-GB"/>
        </w:rPr>
        <w:t>any relevant contractual, technical or organisational safeguards put in place to supplement the safeguards under these Clauses, including measures applied during transmission and to the processing of the personal data in the country of destination.</w:t>
      </w:r>
    </w:p>
    <w:p w14:paraId="5A6E1EF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4DA6F0D3"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lastRenderedPageBreak/>
        <w:t>The Parties agree to document the assessment under paragraph (b) and make it available to the competent supervisory authority on request.</w:t>
      </w:r>
    </w:p>
    <w:p w14:paraId="1871BB9A"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
    <w:p w14:paraId="5E36BA77"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 </w:t>
      </w:r>
      <w:r w:rsidRPr="00847E4B">
        <w:rPr>
          <w:noProof/>
          <w:color w:val="444444"/>
          <w:sz w:val="22"/>
          <w:szCs w:val="22"/>
          <w:shd w:val="clear" w:color="auto" w:fill="FFFFFF"/>
        </w:rPr>
        <w:t xml:space="preserve"> </w:t>
      </w:r>
    </w:p>
    <w:p w14:paraId="749C57EB" w14:textId="77777777" w:rsidR="00847E4B" w:rsidRPr="00847E4B" w:rsidRDefault="00847E4B" w:rsidP="00847E4B">
      <w:pPr>
        <w:keepNext/>
        <w:spacing w:before="480" w:after="120"/>
        <w:jc w:val="center"/>
        <w:rPr>
          <w:i/>
          <w:noProof/>
          <w:sz w:val="22"/>
          <w:szCs w:val="22"/>
        </w:rPr>
      </w:pPr>
      <w:r w:rsidRPr="00847E4B">
        <w:rPr>
          <w:i/>
          <w:noProof/>
          <w:sz w:val="22"/>
          <w:szCs w:val="22"/>
        </w:rPr>
        <w:t>Clause 15</w:t>
      </w:r>
    </w:p>
    <w:p w14:paraId="2CE5D9C5" w14:textId="77777777" w:rsidR="00847E4B" w:rsidRPr="00847E4B" w:rsidRDefault="00847E4B" w:rsidP="00847E4B">
      <w:pPr>
        <w:numPr>
          <w:ilvl w:val="1"/>
          <w:numId w:val="0"/>
        </w:numPr>
        <w:spacing w:before="120" w:after="120"/>
        <w:jc w:val="center"/>
        <w:rPr>
          <w:b/>
          <w:noProof/>
          <w:sz w:val="22"/>
          <w:szCs w:val="22"/>
        </w:rPr>
      </w:pPr>
      <w:r w:rsidRPr="00847E4B">
        <w:rPr>
          <w:b/>
          <w:i/>
          <w:noProof/>
          <w:sz w:val="22"/>
          <w:szCs w:val="22"/>
        </w:rPr>
        <w:t>Obligations of the data importer in case of access by public authorities</w:t>
      </w:r>
    </w:p>
    <w:p w14:paraId="08E016BD" w14:textId="77777777" w:rsidR="00847E4B" w:rsidRPr="00847E4B" w:rsidRDefault="00847E4B" w:rsidP="00847E4B">
      <w:pPr>
        <w:spacing w:before="240" w:after="120"/>
        <w:ind w:left="851" w:hanging="851"/>
        <w:jc w:val="both"/>
        <w:rPr>
          <w:b/>
          <w:noProof/>
          <w:sz w:val="22"/>
          <w:szCs w:val="22"/>
        </w:rPr>
      </w:pPr>
      <w:r w:rsidRPr="00847E4B">
        <w:rPr>
          <w:b/>
          <w:noProof/>
          <w:sz w:val="22"/>
          <w:szCs w:val="22"/>
        </w:rPr>
        <w:t>15.1</w:t>
      </w:r>
      <w:r w:rsidRPr="00847E4B">
        <w:rPr>
          <w:b/>
          <w:noProof/>
          <w:sz w:val="22"/>
          <w:szCs w:val="22"/>
        </w:rPr>
        <w:tab/>
        <w:t>Notification</w:t>
      </w:r>
    </w:p>
    <w:p w14:paraId="17D4FEAB" w14:textId="77777777" w:rsidR="00847E4B" w:rsidRPr="00847E4B" w:rsidRDefault="00847E4B" w:rsidP="00847E4B">
      <w:pPr>
        <w:numPr>
          <w:ilvl w:val="1"/>
          <w:numId w:val="20"/>
        </w:numPr>
        <w:spacing w:before="120" w:after="120"/>
        <w:jc w:val="both"/>
        <w:rPr>
          <w:noProof/>
          <w:sz w:val="22"/>
          <w:szCs w:val="22"/>
        </w:rPr>
      </w:pPr>
      <w:r w:rsidRPr="00847E4B">
        <w:rPr>
          <w:noProof/>
          <w:sz w:val="22"/>
          <w:szCs w:val="22"/>
        </w:rPr>
        <w:t xml:space="preserve">The data importer agrees to notify the data exporter and, where possible, the data subject promptly (if necessary with the help of the data exporter) if it: </w:t>
      </w:r>
    </w:p>
    <w:p w14:paraId="613AADD3"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232B7157"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becomes aware of any direct access by public authorities to personal data transferred pursuant to these Clauses in accordance with the laws of the country of destination; such notification shall include all information available to the importer.</w:t>
      </w:r>
    </w:p>
    <w:p w14:paraId="54A7C97B"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 </w:t>
      </w:r>
    </w:p>
    <w:p w14:paraId="43E95A56"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6A3B693C"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 xml:space="preserve">The data importer agrees to preserve the information pursuant to paragraphs (a) to (c) for the duration of the contract and make it available to the competent supervisory authority on request. </w:t>
      </w:r>
    </w:p>
    <w:p w14:paraId="04411464"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lastRenderedPageBreak/>
        <w:t>Paragraphs (a) to (c) are without prejudice to the obligation of the data importer pursuant to Clause 14(e) and Clause 16 to inform the data exporter promptly where it is unable to comply with these Clauses.</w:t>
      </w:r>
    </w:p>
    <w:p w14:paraId="4FB801E4" w14:textId="77777777" w:rsidR="00847E4B" w:rsidRPr="00847E4B" w:rsidRDefault="00847E4B" w:rsidP="00847E4B">
      <w:pPr>
        <w:spacing w:before="480" w:after="120"/>
        <w:ind w:left="851" w:hanging="851"/>
        <w:jc w:val="both"/>
        <w:rPr>
          <w:b/>
          <w:noProof/>
          <w:sz w:val="22"/>
          <w:szCs w:val="22"/>
        </w:rPr>
      </w:pPr>
      <w:r w:rsidRPr="00847E4B">
        <w:rPr>
          <w:b/>
          <w:noProof/>
          <w:sz w:val="22"/>
          <w:szCs w:val="22"/>
        </w:rPr>
        <w:t>15.2</w:t>
      </w:r>
      <w:r w:rsidRPr="00847E4B">
        <w:rPr>
          <w:b/>
          <w:noProof/>
          <w:sz w:val="22"/>
          <w:szCs w:val="22"/>
        </w:rPr>
        <w:tab/>
        <w:t>Review of legality and data minimisation</w:t>
      </w:r>
    </w:p>
    <w:p w14:paraId="612D5F31" w14:textId="77777777" w:rsidR="00847E4B" w:rsidRPr="00847E4B" w:rsidRDefault="00847E4B" w:rsidP="00847E4B">
      <w:pPr>
        <w:numPr>
          <w:ilvl w:val="1"/>
          <w:numId w:val="21"/>
        </w:numPr>
        <w:spacing w:before="120" w:after="120"/>
        <w:jc w:val="both"/>
        <w:rPr>
          <w:noProof/>
          <w:sz w:val="22"/>
          <w:szCs w:val="22"/>
        </w:rPr>
      </w:pPr>
      <w:r w:rsidRPr="00847E4B">
        <w:rPr>
          <w:noProof/>
          <w:sz w:val="22"/>
          <w:szCs w:val="22"/>
        </w:rPr>
        <w:t>The data importer agrees to review the legality of the request for disclosure, in particular whether it remains within the powers granted to the requesting public authority, and to challenge the request if, after careful assessment,</w:t>
      </w:r>
      <w:r w:rsidRPr="00847E4B">
        <w:rPr>
          <w:rFonts w:cs="Calibri"/>
          <w:noProof/>
          <w:sz w:val="22"/>
          <w:szCs w:val="22"/>
        </w:rPr>
        <w:t xml:space="preserve"> it </w:t>
      </w:r>
      <w:r w:rsidRPr="00847E4B">
        <w:rPr>
          <w:noProof/>
          <w:sz w:val="22"/>
          <w:szCs w:val="22"/>
        </w:rPr>
        <w:t>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24A9D310"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lang w:val="en-IE"/>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2212D4BF"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lang w:val="en-IE"/>
        </w:rPr>
        <w:t>The data importer agrees to provide the minimum amount of information permissible when responding to a request for disclosure, based on a reasonable interpretation of the request.</w:t>
      </w:r>
    </w:p>
    <w:p w14:paraId="47786540" w14:textId="77777777" w:rsidR="00847E4B" w:rsidRPr="00847E4B" w:rsidRDefault="00847E4B" w:rsidP="00847E4B">
      <w:pPr>
        <w:spacing w:before="120" w:after="120"/>
        <w:ind w:left="850"/>
        <w:jc w:val="both"/>
        <w:rPr>
          <w:noProof/>
          <w:sz w:val="22"/>
          <w:szCs w:val="22"/>
        </w:rPr>
      </w:pPr>
    </w:p>
    <w:p w14:paraId="70D11520" w14:textId="77777777" w:rsidR="00847E4B" w:rsidRPr="00847E4B" w:rsidRDefault="00847E4B" w:rsidP="00847E4B">
      <w:pPr>
        <w:spacing w:before="120" w:after="120"/>
        <w:jc w:val="center"/>
        <w:rPr>
          <w:b/>
          <w:noProof/>
          <w:sz w:val="22"/>
          <w:szCs w:val="22"/>
          <w:u w:val="single"/>
        </w:rPr>
      </w:pPr>
      <w:r w:rsidRPr="00847E4B">
        <w:rPr>
          <w:b/>
          <w:noProof/>
          <w:sz w:val="22"/>
          <w:szCs w:val="22"/>
          <w:u w:val="single"/>
        </w:rPr>
        <w:t>SECTION IV – FINAL PROVISIONS</w:t>
      </w:r>
    </w:p>
    <w:p w14:paraId="20245467" w14:textId="77777777" w:rsidR="00847E4B" w:rsidRPr="00847E4B" w:rsidRDefault="00847E4B" w:rsidP="00847E4B">
      <w:pPr>
        <w:keepNext/>
        <w:spacing w:before="480" w:after="120"/>
        <w:jc w:val="center"/>
        <w:rPr>
          <w:i/>
          <w:noProof/>
          <w:sz w:val="22"/>
          <w:szCs w:val="22"/>
        </w:rPr>
      </w:pPr>
      <w:r w:rsidRPr="00847E4B">
        <w:rPr>
          <w:i/>
          <w:noProof/>
          <w:sz w:val="22"/>
          <w:szCs w:val="22"/>
        </w:rPr>
        <w:t>Clause 16</w:t>
      </w:r>
    </w:p>
    <w:p w14:paraId="2CC6BCED"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Non-compliance with the Clauses and termination</w:t>
      </w:r>
    </w:p>
    <w:p w14:paraId="5F4A8AD7" w14:textId="77777777" w:rsidR="00847E4B" w:rsidRPr="00847E4B" w:rsidRDefault="00847E4B" w:rsidP="00847E4B">
      <w:pPr>
        <w:numPr>
          <w:ilvl w:val="1"/>
          <w:numId w:val="27"/>
        </w:numPr>
        <w:spacing w:before="120" w:after="120"/>
        <w:jc w:val="both"/>
        <w:rPr>
          <w:noProof/>
          <w:sz w:val="22"/>
          <w:szCs w:val="22"/>
        </w:rPr>
      </w:pPr>
      <w:r w:rsidRPr="00847E4B">
        <w:rPr>
          <w:noProof/>
          <w:sz w:val="22"/>
          <w:szCs w:val="22"/>
        </w:rPr>
        <w:t xml:space="preserve">The data importer shall promptly inform the data exporter if it is unable to comply with these Clauses, for whatever reason. </w:t>
      </w:r>
    </w:p>
    <w:p w14:paraId="49BD4388"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7CD481AF" w14:textId="77777777" w:rsidR="00847E4B" w:rsidRPr="00847E4B" w:rsidRDefault="00847E4B" w:rsidP="00847E4B">
      <w:pPr>
        <w:numPr>
          <w:ilvl w:val="1"/>
          <w:numId w:val="30"/>
        </w:numPr>
        <w:spacing w:before="120" w:after="120"/>
        <w:jc w:val="both"/>
        <w:rPr>
          <w:noProof/>
          <w:sz w:val="22"/>
          <w:szCs w:val="22"/>
        </w:rPr>
      </w:pPr>
      <w:r w:rsidRPr="00847E4B">
        <w:rPr>
          <w:noProof/>
          <w:sz w:val="22"/>
          <w:szCs w:val="22"/>
        </w:rPr>
        <w:t>The data exporter shall be entitled to terminate the contract, insofar as it concerns the processing of personal data under these Clauses, where:</w:t>
      </w:r>
    </w:p>
    <w:p w14:paraId="7F800923"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 xml:space="preserve">the data exporter has suspended the transfer of personal data to the data importer pursuant to paragraph (b) and compliance with these Clauses is not restored within a reasonable time and in any event within one month of suspension; </w:t>
      </w:r>
    </w:p>
    <w:p w14:paraId="6DEB7993"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the data importer is in substantial or persistent breach of these Clauses; or</w:t>
      </w:r>
    </w:p>
    <w:p w14:paraId="7DA3F1F6" w14:textId="77777777" w:rsidR="00847E4B" w:rsidRPr="00847E4B" w:rsidRDefault="00847E4B" w:rsidP="00847E4B">
      <w:pPr>
        <w:numPr>
          <w:ilvl w:val="3"/>
          <w:numId w:val="30"/>
        </w:numPr>
        <w:spacing w:before="120" w:after="120"/>
        <w:jc w:val="both"/>
        <w:rPr>
          <w:noProof/>
          <w:sz w:val="22"/>
          <w:szCs w:val="22"/>
        </w:rPr>
      </w:pPr>
      <w:r w:rsidRPr="00847E4B">
        <w:rPr>
          <w:noProof/>
          <w:sz w:val="22"/>
          <w:szCs w:val="22"/>
        </w:rPr>
        <w:t>the data importer fails to comply with a binding decision of a competent court or supervisory authority regarding its obligations under these Clauses.</w:t>
      </w:r>
    </w:p>
    <w:p w14:paraId="15866A6C" w14:textId="77777777" w:rsidR="00847E4B" w:rsidRPr="00847E4B" w:rsidRDefault="00847E4B" w:rsidP="00847E4B">
      <w:pPr>
        <w:numPr>
          <w:ilvl w:val="1"/>
          <w:numId w:val="0"/>
        </w:numPr>
        <w:spacing w:before="120" w:after="120"/>
        <w:ind w:left="850"/>
        <w:jc w:val="both"/>
        <w:rPr>
          <w:noProof/>
          <w:sz w:val="22"/>
          <w:szCs w:val="22"/>
        </w:rPr>
      </w:pPr>
      <w:r w:rsidRPr="00847E4B">
        <w:rPr>
          <w:noProof/>
          <w:sz w:val="22"/>
          <w:szCs w:val="22"/>
        </w:rPr>
        <w:t xml:space="preserve">In these cases, it shall inform the competent supervisory authority of such non-compliance. Where the contract involves more than two Parties, the data exporter may exercise this right to termination only with respect to the relevant Party, unless the Parties have agreed otherwise. </w:t>
      </w:r>
    </w:p>
    <w:p w14:paraId="60AD750B" w14:textId="77777777" w:rsidR="00847E4B" w:rsidRPr="00847E4B" w:rsidRDefault="00847E4B" w:rsidP="00847E4B">
      <w:pPr>
        <w:numPr>
          <w:ilvl w:val="1"/>
          <w:numId w:val="27"/>
        </w:numPr>
        <w:spacing w:before="120" w:after="120"/>
        <w:jc w:val="both"/>
        <w:rPr>
          <w:noProof/>
          <w:sz w:val="22"/>
          <w:szCs w:val="22"/>
        </w:rPr>
      </w:pPr>
      <w:r w:rsidRPr="00847E4B">
        <w:rPr>
          <w:noProof/>
          <w:sz w:val="22"/>
          <w:szCs w:val="22"/>
        </w:rPr>
        <w:lastRenderedPageBreak/>
        <w:t xml:space="preserve">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 </w:t>
      </w:r>
    </w:p>
    <w:p w14:paraId="79700F98" w14:textId="77777777" w:rsidR="00847E4B" w:rsidRPr="00847E4B" w:rsidRDefault="00847E4B" w:rsidP="00847E4B">
      <w:pPr>
        <w:numPr>
          <w:ilvl w:val="1"/>
          <w:numId w:val="27"/>
        </w:numPr>
        <w:spacing w:before="120" w:after="120"/>
        <w:jc w:val="both"/>
        <w:rPr>
          <w:noProof/>
          <w:sz w:val="22"/>
          <w:szCs w:val="22"/>
        </w:rPr>
      </w:pPr>
      <w:r w:rsidRPr="00847E4B">
        <w:rPr>
          <w:noProof/>
          <w:sz w:val="22"/>
          <w:szCs w:val="22"/>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 </w:t>
      </w:r>
    </w:p>
    <w:p w14:paraId="5B1329EF" w14:textId="77777777" w:rsidR="00847E4B" w:rsidRPr="00847E4B" w:rsidRDefault="00847E4B" w:rsidP="00847E4B">
      <w:pPr>
        <w:keepNext/>
        <w:spacing w:before="480" w:after="120"/>
        <w:jc w:val="center"/>
        <w:rPr>
          <w:i/>
          <w:noProof/>
          <w:sz w:val="22"/>
          <w:szCs w:val="22"/>
        </w:rPr>
      </w:pPr>
      <w:r w:rsidRPr="00847E4B">
        <w:rPr>
          <w:i/>
          <w:noProof/>
          <w:sz w:val="22"/>
          <w:szCs w:val="22"/>
        </w:rPr>
        <w:t>Clause 17</w:t>
      </w:r>
    </w:p>
    <w:p w14:paraId="093CAF70"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Governing law</w:t>
      </w:r>
    </w:p>
    <w:p w14:paraId="78230798" w14:textId="77777777" w:rsidR="00847E4B" w:rsidRPr="00847E4B" w:rsidRDefault="00847E4B" w:rsidP="00847E4B">
      <w:pPr>
        <w:spacing w:before="120" w:after="120"/>
        <w:jc w:val="both"/>
        <w:rPr>
          <w:noProof/>
          <w:sz w:val="22"/>
          <w:szCs w:val="22"/>
        </w:rPr>
      </w:pPr>
      <w:r w:rsidRPr="00847E4B">
        <w:rPr>
          <w:noProof/>
          <w:sz w:val="22"/>
          <w:szCs w:val="22"/>
        </w:rPr>
        <w:t>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France (</w:t>
      </w:r>
      <w:r w:rsidRPr="00847E4B">
        <w:rPr>
          <w:i/>
          <w:noProof/>
          <w:sz w:val="22"/>
          <w:szCs w:val="22"/>
        </w:rPr>
        <w:t>specify Member State</w:t>
      </w:r>
      <w:r w:rsidRPr="00847E4B">
        <w:rPr>
          <w:noProof/>
          <w:sz w:val="22"/>
          <w:szCs w:val="22"/>
        </w:rPr>
        <w:t xml:space="preserve">).  </w:t>
      </w:r>
    </w:p>
    <w:p w14:paraId="72E73CFD" w14:textId="77777777" w:rsidR="00847E4B" w:rsidRPr="00847E4B" w:rsidRDefault="00847E4B" w:rsidP="00847E4B">
      <w:pPr>
        <w:keepNext/>
        <w:spacing w:before="480" w:after="120"/>
        <w:jc w:val="center"/>
        <w:rPr>
          <w:i/>
          <w:noProof/>
          <w:sz w:val="22"/>
          <w:szCs w:val="22"/>
        </w:rPr>
      </w:pPr>
      <w:r w:rsidRPr="00847E4B">
        <w:rPr>
          <w:i/>
          <w:noProof/>
          <w:sz w:val="22"/>
          <w:szCs w:val="22"/>
        </w:rPr>
        <w:t>Clause 18</w:t>
      </w:r>
    </w:p>
    <w:p w14:paraId="2C1BAFF8" w14:textId="77777777" w:rsidR="00847E4B" w:rsidRPr="00847E4B" w:rsidRDefault="00847E4B" w:rsidP="00847E4B">
      <w:pPr>
        <w:numPr>
          <w:ilvl w:val="1"/>
          <w:numId w:val="0"/>
        </w:numPr>
        <w:spacing w:before="120" w:after="120"/>
        <w:jc w:val="center"/>
        <w:rPr>
          <w:b/>
          <w:i/>
          <w:noProof/>
          <w:sz w:val="22"/>
          <w:szCs w:val="22"/>
        </w:rPr>
      </w:pPr>
      <w:r w:rsidRPr="00847E4B">
        <w:rPr>
          <w:b/>
          <w:i/>
          <w:noProof/>
          <w:sz w:val="22"/>
          <w:szCs w:val="22"/>
        </w:rPr>
        <w:t>Choice of forum and jurisdiction</w:t>
      </w:r>
    </w:p>
    <w:p w14:paraId="3D3A92E3" w14:textId="77777777" w:rsidR="00847E4B" w:rsidRPr="00847E4B" w:rsidRDefault="00847E4B" w:rsidP="00847E4B">
      <w:pPr>
        <w:numPr>
          <w:ilvl w:val="1"/>
          <w:numId w:val="29"/>
        </w:numPr>
        <w:spacing w:before="120" w:after="120"/>
        <w:jc w:val="both"/>
        <w:rPr>
          <w:noProof/>
          <w:sz w:val="22"/>
          <w:szCs w:val="22"/>
        </w:rPr>
      </w:pPr>
      <w:r w:rsidRPr="00847E4B">
        <w:rPr>
          <w:noProof/>
          <w:sz w:val="22"/>
          <w:szCs w:val="22"/>
        </w:rPr>
        <w:t>Any dispute arising from these Clauses shall be resolved by the courts of an EU Member State.</w:t>
      </w:r>
    </w:p>
    <w:p w14:paraId="0B21E77C" w14:textId="77777777" w:rsidR="00847E4B" w:rsidRPr="00847E4B" w:rsidRDefault="00847E4B" w:rsidP="00847E4B">
      <w:pPr>
        <w:numPr>
          <w:ilvl w:val="1"/>
          <w:numId w:val="27"/>
        </w:numPr>
        <w:spacing w:before="120" w:after="120"/>
        <w:jc w:val="both"/>
        <w:rPr>
          <w:noProof/>
          <w:sz w:val="22"/>
          <w:szCs w:val="22"/>
        </w:rPr>
      </w:pPr>
      <w:r w:rsidRPr="00847E4B">
        <w:rPr>
          <w:noProof/>
          <w:sz w:val="22"/>
          <w:szCs w:val="22"/>
        </w:rPr>
        <w:t>The Parties agree that those shall be the courts of the Member State indicated in Clause 17.</w:t>
      </w:r>
    </w:p>
    <w:p w14:paraId="2EBA2B6F" w14:textId="77777777" w:rsidR="00847E4B" w:rsidRPr="00847E4B" w:rsidRDefault="00847E4B" w:rsidP="00847E4B">
      <w:pPr>
        <w:numPr>
          <w:ilvl w:val="1"/>
          <w:numId w:val="27"/>
        </w:numPr>
        <w:spacing w:before="120" w:after="120"/>
        <w:jc w:val="both"/>
        <w:rPr>
          <w:noProof/>
          <w:sz w:val="22"/>
          <w:szCs w:val="22"/>
        </w:rPr>
      </w:pPr>
      <w:r w:rsidRPr="00847E4B">
        <w:rPr>
          <w:noProof/>
          <w:sz w:val="22"/>
          <w:szCs w:val="22"/>
        </w:rPr>
        <w:t xml:space="preserve">A data subject may also bring legal proceedings against the data exporter and/or data importer before the courts of the Member State in which he/she has his/her habitual residence. </w:t>
      </w:r>
    </w:p>
    <w:p w14:paraId="3720FB52" w14:textId="77777777" w:rsidR="00847E4B" w:rsidRPr="00847E4B" w:rsidRDefault="00847E4B" w:rsidP="00847E4B">
      <w:pPr>
        <w:numPr>
          <w:ilvl w:val="1"/>
          <w:numId w:val="27"/>
        </w:numPr>
        <w:spacing w:before="120" w:after="120"/>
        <w:jc w:val="both"/>
        <w:rPr>
          <w:noProof/>
          <w:sz w:val="22"/>
          <w:szCs w:val="22"/>
        </w:rPr>
      </w:pPr>
      <w:r w:rsidRPr="00847E4B">
        <w:rPr>
          <w:noProof/>
          <w:sz w:val="22"/>
          <w:szCs w:val="22"/>
        </w:rPr>
        <w:t>The Parties agree to submit themselves to the jurisdiction of such courts.</w:t>
      </w:r>
    </w:p>
    <w:p w14:paraId="075642E6" w14:textId="77777777" w:rsidR="00847E4B" w:rsidRPr="00847E4B" w:rsidRDefault="00847E4B" w:rsidP="00847E4B">
      <w:pPr>
        <w:jc w:val="both"/>
        <w:rPr>
          <w:noProof/>
          <w:sz w:val="22"/>
          <w:szCs w:val="22"/>
        </w:rPr>
      </w:pPr>
      <w:r w:rsidRPr="00847E4B">
        <w:rPr>
          <w:noProof/>
          <w:sz w:val="22"/>
          <w:szCs w:val="22"/>
        </w:rPr>
        <w:br w:type="page"/>
      </w:r>
    </w:p>
    <w:p w14:paraId="13511752" w14:textId="77777777" w:rsidR="00847E4B" w:rsidRPr="00847E4B" w:rsidRDefault="00847E4B" w:rsidP="00847E4B">
      <w:pPr>
        <w:spacing w:before="120" w:after="120"/>
        <w:jc w:val="center"/>
        <w:rPr>
          <w:b/>
          <w:noProof/>
          <w:sz w:val="22"/>
          <w:szCs w:val="22"/>
          <w:u w:val="single"/>
        </w:rPr>
      </w:pPr>
      <w:r w:rsidRPr="00847E4B">
        <w:rPr>
          <w:b/>
          <w:noProof/>
          <w:sz w:val="22"/>
          <w:szCs w:val="22"/>
          <w:u w:val="single"/>
        </w:rPr>
        <w:lastRenderedPageBreak/>
        <w:t xml:space="preserve">APPENDIX </w:t>
      </w:r>
    </w:p>
    <w:p w14:paraId="28F86D3F" w14:textId="77777777" w:rsidR="00847E4B" w:rsidRPr="00847E4B" w:rsidRDefault="00847E4B" w:rsidP="00847E4B">
      <w:pPr>
        <w:spacing w:before="120" w:after="120"/>
        <w:jc w:val="both"/>
        <w:rPr>
          <w:noProof/>
          <w:sz w:val="22"/>
          <w:szCs w:val="22"/>
        </w:rPr>
      </w:pPr>
      <w:r w:rsidRPr="00847E4B">
        <w:rPr>
          <w:noProof/>
          <w:sz w:val="22"/>
          <w:szCs w:val="22"/>
        </w:rPr>
        <w:t xml:space="preserve">EXPLANATORY NOTE: </w:t>
      </w:r>
    </w:p>
    <w:p w14:paraId="5D83D62A" w14:textId="77777777" w:rsidR="00847E4B" w:rsidRPr="00847E4B" w:rsidRDefault="00847E4B" w:rsidP="00847E4B">
      <w:pPr>
        <w:spacing w:before="120" w:after="120"/>
        <w:jc w:val="both"/>
        <w:rPr>
          <w:b/>
          <w:noProof/>
          <w:sz w:val="22"/>
          <w:szCs w:val="22"/>
          <w:u w:val="single"/>
        </w:rPr>
      </w:pPr>
      <w:r w:rsidRPr="00847E4B">
        <w:rPr>
          <w:noProof/>
          <w:sz w:val="22"/>
          <w:szCs w:val="22"/>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25BBDFA7" w14:textId="77777777" w:rsidR="00847E4B" w:rsidRPr="00847E4B" w:rsidRDefault="00847E4B" w:rsidP="00847E4B">
      <w:pPr>
        <w:spacing w:before="240" w:after="120"/>
        <w:jc w:val="both"/>
        <w:rPr>
          <w:b/>
          <w:noProof/>
          <w:sz w:val="22"/>
          <w:szCs w:val="22"/>
          <w:u w:val="single"/>
        </w:rPr>
      </w:pPr>
      <w:r w:rsidRPr="00847E4B">
        <w:rPr>
          <w:b/>
          <w:noProof/>
          <w:sz w:val="22"/>
          <w:szCs w:val="22"/>
          <w:u w:val="single"/>
        </w:rPr>
        <w:t>ANNEX I</w:t>
      </w:r>
    </w:p>
    <w:p w14:paraId="337FCDB4" w14:textId="77777777" w:rsidR="00847E4B" w:rsidRPr="00847E4B" w:rsidRDefault="00847E4B" w:rsidP="00847E4B">
      <w:pPr>
        <w:spacing w:before="240" w:after="120"/>
        <w:ind w:left="851"/>
        <w:jc w:val="both"/>
        <w:rPr>
          <w:b/>
          <w:noProof/>
          <w:sz w:val="22"/>
          <w:szCs w:val="22"/>
        </w:rPr>
      </w:pPr>
      <w:r w:rsidRPr="00847E4B">
        <w:rPr>
          <w:b/>
          <w:noProof/>
          <w:sz w:val="22"/>
          <w:szCs w:val="22"/>
        </w:rPr>
        <w:t>A. LIST OF PARTIES</w:t>
      </w:r>
    </w:p>
    <w:p w14:paraId="49034988" w14:textId="77777777" w:rsidR="00847E4B" w:rsidRPr="00B13AE5" w:rsidRDefault="00847E4B" w:rsidP="00847E4B">
      <w:pPr>
        <w:spacing w:before="120" w:after="120"/>
        <w:jc w:val="both"/>
        <w:rPr>
          <w:i/>
          <w:noProof/>
          <w:sz w:val="22"/>
          <w:szCs w:val="22"/>
        </w:rPr>
      </w:pPr>
      <w:r w:rsidRPr="00847E4B">
        <w:rPr>
          <w:b/>
          <w:noProof/>
          <w:sz w:val="22"/>
          <w:szCs w:val="22"/>
        </w:rPr>
        <w:t xml:space="preserve">Data exporter(s): </w:t>
      </w:r>
      <w:r w:rsidRPr="00B13AE5">
        <w:rPr>
          <w:noProof/>
          <w:sz w:val="22"/>
          <w:szCs w:val="22"/>
        </w:rPr>
        <w:t>[</w:t>
      </w:r>
      <w:r w:rsidRPr="00B13AE5">
        <w:rPr>
          <w:i/>
          <w:noProof/>
          <w:sz w:val="22"/>
          <w:szCs w:val="22"/>
        </w:rPr>
        <w:t xml:space="preserve">Identity and contact details of the data exporter(s) and, where applicable, of its/their data protection officer and/or representative in the European Union] </w:t>
      </w:r>
    </w:p>
    <w:p w14:paraId="1E28C9C3" w14:textId="77777777" w:rsidR="00847E4B" w:rsidRPr="00847E4B" w:rsidRDefault="00847E4B" w:rsidP="00847E4B">
      <w:pPr>
        <w:spacing w:before="120" w:after="120"/>
        <w:jc w:val="both"/>
        <w:rPr>
          <w:noProof/>
          <w:sz w:val="22"/>
          <w:szCs w:val="22"/>
        </w:rPr>
      </w:pPr>
      <w:r w:rsidRPr="00B13AE5">
        <w:rPr>
          <w:noProof/>
          <w:sz w:val="22"/>
          <w:szCs w:val="22"/>
        </w:rPr>
        <w:t>1. Name: …</w:t>
      </w:r>
    </w:p>
    <w:p w14:paraId="1DD11223" w14:textId="77777777" w:rsidR="00847E4B" w:rsidRPr="00847E4B" w:rsidRDefault="00847E4B" w:rsidP="00847E4B">
      <w:pPr>
        <w:spacing w:before="120" w:after="120"/>
        <w:jc w:val="both"/>
        <w:rPr>
          <w:noProof/>
          <w:sz w:val="22"/>
          <w:szCs w:val="22"/>
        </w:rPr>
      </w:pPr>
      <w:r w:rsidRPr="00847E4B">
        <w:rPr>
          <w:noProof/>
          <w:sz w:val="22"/>
          <w:szCs w:val="22"/>
        </w:rPr>
        <w:t>Address: …</w:t>
      </w:r>
    </w:p>
    <w:p w14:paraId="78B18973" w14:textId="77777777" w:rsidR="00847E4B" w:rsidRPr="00847E4B" w:rsidRDefault="00847E4B" w:rsidP="00847E4B">
      <w:pPr>
        <w:spacing w:before="120" w:after="120"/>
        <w:jc w:val="both"/>
        <w:rPr>
          <w:noProof/>
          <w:sz w:val="22"/>
          <w:szCs w:val="22"/>
        </w:rPr>
      </w:pPr>
      <w:r w:rsidRPr="00847E4B">
        <w:rPr>
          <w:noProof/>
          <w:sz w:val="22"/>
          <w:szCs w:val="22"/>
        </w:rPr>
        <w:t>Contact person’s name, position and contact details: …</w:t>
      </w:r>
    </w:p>
    <w:p w14:paraId="4DF2FE95" w14:textId="77777777" w:rsidR="00847E4B" w:rsidRPr="00847E4B" w:rsidRDefault="00847E4B" w:rsidP="00847E4B">
      <w:pPr>
        <w:spacing w:before="120" w:after="120"/>
        <w:jc w:val="both"/>
        <w:rPr>
          <w:noProof/>
          <w:sz w:val="22"/>
          <w:szCs w:val="22"/>
        </w:rPr>
      </w:pPr>
      <w:r w:rsidRPr="00847E4B">
        <w:rPr>
          <w:noProof/>
          <w:sz w:val="22"/>
          <w:szCs w:val="22"/>
        </w:rPr>
        <w:t>Activities relevant to the data transferred under these Clauses: …</w:t>
      </w:r>
    </w:p>
    <w:p w14:paraId="7E1D7311" w14:textId="77777777" w:rsidR="00847E4B" w:rsidRPr="00847E4B" w:rsidRDefault="00847E4B" w:rsidP="00847E4B">
      <w:pPr>
        <w:spacing w:before="120" w:after="120"/>
        <w:jc w:val="both"/>
        <w:rPr>
          <w:noProof/>
          <w:sz w:val="22"/>
          <w:szCs w:val="22"/>
        </w:rPr>
      </w:pPr>
      <w:r w:rsidRPr="00847E4B">
        <w:rPr>
          <w:noProof/>
          <w:sz w:val="22"/>
          <w:szCs w:val="22"/>
        </w:rPr>
        <w:t>Signature and date: …</w:t>
      </w:r>
    </w:p>
    <w:p w14:paraId="4AD44451" w14:textId="03724E4E" w:rsidR="00847E4B" w:rsidRPr="00847E4B" w:rsidRDefault="00847E4B" w:rsidP="00847E4B">
      <w:pPr>
        <w:spacing w:before="120" w:after="120"/>
        <w:jc w:val="both"/>
        <w:rPr>
          <w:noProof/>
          <w:sz w:val="22"/>
          <w:szCs w:val="22"/>
        </w:rPr>
      </w:pPr>
      <w:r w:rsidRPr="00847E4B">
        <w:rPr>
          <w:noProof/>
          <w:sz w:val="22"/>
          <w:szCs w:val="22"/>
        </w:rPr>
        <w:t>Role: …</w:t>
      </w:r>
      <w:r>
        <w:rPr>
          <w:noProof/>
          <w:sz w:val="22"/>
          <w:szCs w:val="22"/>
        </w:rPr>
        <w:t xml:space="preserve"> Controller</w:t>
      </w:r>
    </w:p>
    <w:p w14:paraId="4C4DBC0E" w14:textId="77777777" w:rsidR="00847E4B" w:rsidRPr="00847E4B" w:rsidRDefault="00847E4B" w:rsidP="00847E4B">
      <w:pPr>
        <w:spacing w:before="120" w:after="120"/>
        <w:jc w:val="both"/>
        <w:rPr>
          <w:noProof/>
          <w:sz w:val="22"/>
          <w:szCs w:val="22"/>
        </w:rPr>
      </w:pPr>
    </w:p>
    <w:p w14:paraId="5D967DED" w14:textId="7DD15216" w:rsidR="00847E4B" w:rsidRPr="00847E4B" w:rsidRDefault="00847E4B" w:rsidP="00847E4B">
      <w:pPr>
        <w:spacing w:before="120" w:after="120"/>
        <w:jc w:val="both"/>
        <w:rPr>
          <w:noProof/>
          <w:sz w:val="22"/>
          <w:szCs w:val="22"/>
        </w:rPr>
      </w:pPr>
      <w:r>
        <w:rPr>
          <w:noProof/>
          <w:sz w:val="22"/>
          <w:szCs w:val="22"/>
        </w:rPr>
        <w:t>[</w:t>
      </w:r>
      <w:r w:rsidRPr="00847E4B">
        <w:rPr>
          <w:noProof/>
          <w:sz w:val="22"/>
          <w:szCs w:val="22"/>
        </w:rPr>
        <w:t>2. …</w:t>
      </w:r>
      <w:r w:rsidRPr="00847E4B">
        <w:t xml:space="preserve"> </w:t>
      </w:r>
      <w:r w:rsidRPr="00847E4B">
        <w:rPr>
          <w:noProof/>
          <w:sz w:val="22"/>
          <w:szCs w:val="22"/>
        </w:rPr>
        <w:t>Name: … Fundraise Up Inc.</w:t>
      </w:r>
    </w:p>
    <w:p w14:paraId="7169E402" w14:textId="77777777" w:rsidR="00847E4B" w:rsidRPr="00847E4B" w:rsidRDefault="00847E4B" w:rsidP="00847E4B">
      <w:pPr>
        <w:spacing w:before="120" w:after="120"/>
        <w:jc w:val="both"/>
        <w:rPr>
          <w:noProof/>
          <w:sz w:val="22"/>
          <w:szCs w:val="22"/>
        </w:rPr>
      </w:pPr>
      <w:r w:rsidRPr="00847E4B">
        <w:rPr>
          <w:noProof/>
          <w:sz w:val="22"/>
          <w:szCs w:val="22"/>
        </w:rPr>
        <w:t>Address: …114 8th Street, Brooklyn, New York 11215 USA</w:t>
      </w:r>
    </w:p>
    <w:p w14:paraId="065D04AF" w14:textId="673AE980" w:rsidR="00847E4B" w:rsidRPr="00847E4B" w:rsidRDefault="00847E4B" w:rsidP="00847E4B">
      <w:pPr>
        <w:spacing w:before="120" w:after="120"/>
        <w:jc w:val="both"/>
        <w:rPr>
          <w:noProof/>
          <w:sz w:val="22"/>
          <w:szCs w:val="22"/>
        </w:rPr>
      </w:pPr>
      <w:r w:rsidRPr="00847E4B">
        <w:rPr>
          <w:noProof/>
          <w:sz w:val="22"/>
          <w:szCs w:val="22"/>
        </w:rPr>
        <w:t xml:space="preserve">Contact person’s name, position and contact details: … Yuriy Smirnov, Chief Technology Officer, (718) 599-1129, </w:t>
      </w:r>
      <w:hyperlink r:id="rId9" w:history="1">
        <w:r w:rsidRPr="00167F1D">
          <w:rPr>
            <w:rStyle w:val="Hyperlink"/>
            <w:noProof/>
            <w:sz w:val="22"/>
            <w:szCs w:val="22"/>
          </w:rPr>
          <w:t>legal@fundraiseup.com</w:t>
        </w:r>
      </w:hyperlink>
      <w:r w:rsidRPr="00847E4B">
        <w:rPr>
          <w:noProof/>
          <w:sz w:val="22"/>
          <w:szCs w:val="22"/>
        </w:rPr>
        <w:t xml:space="preserve">     </w:t>
      </w:r>
    </w:p>
    <w:p w14:paraId="39896D0A" w14:textId="77777777" w:rsidR="00847E4B" w:rsidRPr="00847E4B" w:rsidRDefault="00847E4B" w:rsidP="00847E4B">
      <w:pPr>
        <w:spacing w:before="120" w:after="120"/>
        <w:jc w:val="both"/>
        <w:rPr>
          <w:noProof/>
          <w:sz w:val="22"/>
          <w:szCs w:val="22"/>
        </w:rPr>
      </w:pPr>
      <w:r w:rsidRPr="00847E4B">
        <w:rPr>
          <w:noProof/>
          <w:sz w:val="22"/>
          <w:szCs w:val="22"/>
        </w:rPr>
        <w:t xml:space="preserve">Activities relevant to the data transferred under these Clauses: … managing an e-commerce platform for charitable organizations.  </w:t>
      </w:r>
    </w:p>
    <w:p w14:paraId="5D343CC0" w14:textId="0FACA3C6" w:rsidR="00847E4B" w:rsidRPr="00F01B6A" w:rsidRDefault="00847E4B" w:rsidP="00847E4B">
      <w:pPr>
        <w:spacing w:before="120" w:after="120"/>
        <w:jc w:val="both"/>
        <w:rPr>
          <w:noProof/>
          <w:sz w:val="22"/>
          <w:szCs w:val="22"/>
          <w:lang w:val="fr-FR"/>
        </w:rPr>
      </w:pPr>
      <w:r w:rsidRPr="00B13AE5">
        <w:rPr>
          <w:noProof/>
          <w:sz w:val="22"/>
          <w:szCs w:val="22"/>
          <w:lang w:val="fr-FR"/>
        </w:rPr>
        <w:t>Signature and date: …</w:t>
      </w:r>
    </w:p>
    <w:p w14:paraId="63CFB438" w14:textId="77777777" w:rsidR="00873598" w:rsidRPr="00F01B6A" w:rsidRDefault="00847E4B" w:rsidP="00847E4B">
      <w:pPr>
        <w:spacing w:before="120" w:after="120"/>
        <w:jc w:val="both"/>
        <w:rPr>
          <w:noProof/>
          <w:sz w:val="22"/>
          <w:szCs w:val="22"/>
          <w:lang w:val="fr-FR"/>
        </w:rPr>
      </w:pPr>
      <w:r w:rsidRPr="00F01B6A">
        <w:rPr>
          <w:noProof/>
          <w:sz w:val="22"/>
          <w:szCs w:val="22"/>
          <w:lang w:val="fr-FR"/>
        </w:rPr>
        <w:t>Role: …Processor</w:t>
      </w:r>
    </w:p>
    <w:p w14:paraId="0FF5E6AE" w14:textId="72AEA142" w:rsidR="00873598" w:rsidRPr="00873598" w:rsidRDefault="00873598" w:rsidP="00873598">
      <w:pPr>
        <w:jc w:val="both"/>
        <w:rPr>
          <w:noProof/>
          <w:sz w:val="22"/>
          <w:szCs w:val="22"/>
          <w:lang w:val="fr-FR"/>
        </w:rPr>
      </w:pPr>
      <w:r w:rsidRPr="00873598">
        <w:rPr>
          <w:noProof/>
          <w:sz w:val="22"/>
          <w:szCs w:val="22"/>
          <w:lang w:val="fr-FR"/>
        </w:rPr>
        <w:t xml:space="preserve">EU Representative: </w:t>
      </w:r>
      <w:r>
        <w:rPr>
          <w:noProof/>
          <w:sz w:val="22"/>
          <w:szCs w:val="22"/>
          <w:lang w:val="fr-FR"/>
        </w:rPr>
        <w:tab/>
      </w:r>
      <w:r w:rsidRPr="00873598">
        <w:rPr>
          <w:noProof/>
          <w:sz w:val="22"/>
          <w:szCs w:val="22"/>
          <w:lang w:val="fr-FR"/>
        </w:rPr>
        <w:t>Brown Rudnick</w:t>
      </w:r>
    </w:p>
    <w:p w14:paraId="4D2FC930" w14:textId="77777777" w:rsidR="00873598" w:rsidRPr="00873598" w:rsidRDefault="00873598" w:rsidP="00873598">
      <w:pPr>
        <w:pStyle w:val="bodytext0"/>
        <w:shd w:val="clear" w:color="auto" w:fill="FEFEFE"/>
        <w:spacing w:before="0" w:beforeAutospacing="0" w:after="0" w:afterAutospacing="0"/>
        <w:ind w:left="1440" w:firstLine="720"/>
        <w:rPr>
          <w:color w:val="0A0A0A"/>
          <w:sz w:val="22"/>
          <w:szCs w:val="22"/>
          <w:lang w:val="fr-FR"/>
        </w:rPr>
      </w:pPr>
      <w:r w:rsidRPr="00873598">
        <w:rPr>
          <w:color w:val="0A0A0A"/>
          <w:sz w:val="22"/>
          <w:szCs w:val="22"/>
          <w:lang w:val="fr-FR"/>
        </w:rPr>
        <w:t>1 rue François 1</w:t>
      </w:r>
      <w:r w:rsidRPr="00873598">
        <w:rPr>
          <w:color w:val="0A0A0A"/>
          <w:sz w:val="22"/>
          <w:szCs w:val="22"/>
          <w:vertAlign w:val="superscript"/>
          <w:lang w:val="fr-FR"/>
        </w:rPr>
        <w:t>er</w:t>
      </w:r>
    </w:p>
    <w:p w14:paraId="3D460C02" w14:textId="77777777" w:rsidR="00873598" w:rsidRPr="00F01B6A" w:rsidRDefault="00873598" w:rsidP="00873598">
      <w:pPr>
        <w:pStyle w:val="NormalWeb"/>
        <w:shd w:val="clear" w:color="auto" w:fill="FEFEFE"/>
        <w:spacing w:before="0" w:beforeAutospacing="0" w:after="0" w:afterAutospacing="0"/>
        <w:ind w:left="1440" w:firstLine="720"/>
        <w:rPr>
          <w:color w:val="000000"/>
          <w:sz w:val="22"/>
          <w:szCs w:val="22"/>
          <w:lang w:val="fr-FR"/>
        </w:rPr>
      </w:pPr>
      <w:r w:rsidRPr="00F01B6A">
        <w:rPr>
          <w:color w:val="000000"/>
          <w:sz w:val="22"/>
          <w:szCs w:val="22"/>
          <w:lang w:val="fr-FR"/>
        </w:rPr>
        <w:t>75008 Paris</w:t>
      </w:r>
    </w:p>
    <w:p w14:paraId="6D139787" w14:textId="02D5A6D0" w:rsidR="00847E4B" w:rsidRPr="00F01B6A" w:rsidRDefault="00873598" w:rsidP="00873598">
      <w:pPr>
        <w:pStyle w:val="bodytext0"/>
        <w:shd w:val="clear" w:color="auto" w:fill="FEFEFE"/>
        <w:spacing w:before="0" w:beforeAutospacing="0" w:after="0" w:afterAutospacing="0"/>
        <w:ind w:left="1440" w:firstLine="720"/>
        <w:rPr>
          <w:color w:val="0A0A0A"/>
          <w:sz w:val="22"/>
          <w:szCs w:val="22"/>
          <w:lang w:val="fr-FR"/>
        </w:rPr>
      </w:pPr>
      <w:r w:rsidRPr="00F01B6A">
        <w:rPr>
          <w:color w:val="0A0A0A"/>
          <w:sz w:val="22"/>
          <w:szCs w:val="22"/>
          <w:lang w:val="fr-FR"/>
        </w:rPr>
        <w:t>France]</w:t>
      </w:r>
    </w:p>
    <w:p w14:paraId="380B7F85" w14:textId="77777777" w:rsidR="00847E4B" w:rsidRPr="00F01B6A" w:rsidRDefault="00847E4B" w:rsidP="00847E4B">
      <w:pPr>
        <w:spacing w:before="120" w:after="120"/>
        <w:jc w:val="both"/>
        <w:rPr>
          <w:noProof/>
          <w:sz w:val="22"/>
          <w:szCs w:val="22"/>
          <w:lang w:val="fr-FR"/>
        </w:rPr>
      </w:pPr>
    </w:p>
    <w:p w14:paraId="2C27EF21" w14:textId="77777777" w:rsidR="00847E4B" w:rsidRPr="00847E4B" w:rsidRDefault="00847E4B" w:rsidP="00847E4B">
      <w:pPr>
        <w:spacing w:before="120" w:after="120"/>
        <w:jc w:val="both"/>
        <w:rPr>
          <w:i/>
          <w:noProof/>
          <w:sz w:val="22"/>
          <w:szCs w:val="22"/>
        </w:rPr>
      </w:pPr>
      <w:r w:rsidRPr="00847E4B">
        <w:rPr>
          <w:b/>
          <w:noProof/>
          <w:sz w:val="22"/>
          <w:szCs w:val="22"/>
        </w:rPr>
        <w:t xml:space="preserve">Data importer(s): </w:t>
      </w:r>
    </w:p>
    <w:p w14:paraId="130D885A" w14:textId="77777777" w:rsidR="00847E4B" w:rsidRPr="00847E4B" w:rsidRDefault="00847E4B" w:rsidP="00847E4B">
      <w:pPr>
        <w:spacing w:before="120" w:after="120"/>
        <w:jc w:val="both"/>
        <w:rPr>
          <w:noProof/>
          <w:sz w:val="22"/>
          <w:szCs w:val="22"/>
        </w:rPr>
      </w:pPr>
      <w:r w:rsidRPr="00847E4B">
        <w:rPr>
          <w:noProof/>
          <w:sz w:val="22"/>
          <w:szCs w:val="22"/>
        </w:rPr>
        <w:t>1. Name: …</w:t>
      </w:r>
      <w:r w:rsidRPr="00847E4B">
        <w:rPr>
          <w:sz w:val="22"/>
          <w:szCs w:val="22"/>
        </w:rPr>
        <w:t xml:space="preserve"> </w:t>
      </w:r>
      <w:r w:rsidRPr="00847E4B">
        <w:rPr>
          <w:noProof/>
          <w:sz w:val="22"/>
          <w:szCs w:val="22"/>
        </w:rPr>
        <w:t>Fundraise Up Inc.</w:t>
      </w:r>
    </w:p>
    <w:p w14:paraId="0934A37D" w14:textId="77777777" w:rsidR="00847E4B" w:rsidRPr="00847E4B" w:rsidRDefault="00847E4B" w:rsidP="00847E4B">
      <w:pPr>
        <w:spacing w:before="120" w:after="120"/>
        <w:jc w:val="both"/>
        <w:rPr>
          <w:noProof/>
          <w:sz w:val="22"/>
          <w:szCs w:val="22"/>
        </w:rPr>
      </w:pPr>
      <w:r w:rsidRPr="00847E4B">
        <w:rPr>
          <w:noProof/>
          <w:sz w:val="22"/>
          <w:szCs w:val="22"/>
        </w:rPr>
        <w:t>Address: …114 8th Street, Brooklyn, New York 11215 USA</w:t>
      </w:r>
    </w:p>
    <w:p w14:paraId="4370AE21" w14:textId="1DD40B1A" w:rsidR="00847E4B" w:rsidRPr="00847E4B" w:rsidRDefault="00847E4B" w:rsidP="00847E4B">
      <w:pPr>
        <w:spacing w:before="120" w:after="120"/>
        <w:rPr>
          <w:noProof/>
          <w:sz w:val="22"/>
          <w:szCs w:val="22"/>
        </w:rPr>
      </w:pPr>
      <w:r w:rsidRPr="00847E4B">
        <w:rPr>
          <w:noProof/>
          <w:sz w:val="22"/>
          <w:szCs w:val="22"/>
        </w:rPr>
        <w:t>Contact person’s name, position and contact details: …</w:t>
      </w:r>
      <w:r w:rsidRPr="00847E4B">
        <w:rPr>
          <w:sz w:val="22"/>
          <w:szCs w:val="22"/>
        </w:rPr>
        <w:t xml:space="preserve"> </w:t>
      </w:r>
      <w:r w:rsidRPr="00847E4B">
        <w:rPr>
          <w:noProof/>
          <w:sz w:val="22"/>
          <w:szCs w:val="22"/>
        </w:rPr>
        <w:t xml:space="preserve">Yuriy Smirnov, Chief Technology Officer, (718) 599-1129, </w:t>
      </w:r>
      <w:hyperlink r:id="rId10" w:history="1">
        <w:r w:rsidRPr="00847E4B">
          <w:rPr>
            <w:rStyle w:val="Hyperlink"/>
            <w:noProof/>
            <w:sz w:val="22"/>
            <w:szCs w:val="22"/>
          </w:rPr>
          <w:t>legal@fundraiseup.com</w:t>
        </w:r>
      </w:hyperlink>
      <w:r w:rsidRPr="00847E4B">
        <w:rPr>
          <w:noProof/>
          <w:sz w:val="22"/>
          <w:szCs w:val="22"/>
        </w:rPr>
        <w:t xml:space="preserve">     </w:t>
      </w:r>
    </w:p>
    <w:p w14:paraId="54D4F8E9" w14:textId="77777777" w:rsidR="00847E4B" w:rsidRPr="00847E4B" w:rsidRDefault="00847E4B" w:rsidP="00847E4B">
      <w:pPr>
        <w:spacing w:before="120" w:after="120"/>
        <w:jc w:val="both"/>
        <w:rPr>
          <w:noProof/>
          <w:sz w:val="22"/>
          <w:szCs w:val="22"/>
        </w:rPr>
      </w:pPr>
      <w:r w:rsidRPr="00847E4B">
        <w:rPr>
          <w:noProof/>
          <w:sz w:val="22"/>
          <w:szCs w:val="22"/>
        </w:rPr>
        <w:t>Activities relevant to the data transferred under these Clauses: …</w:t>
      </w:r>
      <w:r w:rsidRPr="00847E4B">
        <w:rPr>
          <w:sz w:val="22"/>
          <w:szCs w:val="22"/>
        </w:rPr>
        <w:t xml:space="preserve"> </w:t>
      </w:r>
      <w:r w:rsidRPr="00847E4B">
        <w:rPr>
          <w:noProof/>
          <w:sz w:val="22"/>
          <w:szCs w:val="22"/>
        </w:rPr>
        <w:t xml:space="preserve">managing an e-commerce platform for charitable organizations.  </w:t>
      </w:r>
    </w:p>
    <w:p w14:paraId="095DE315" w14:textId="77777777" w:rsidR="00847E4B" w:rsidRPr="00B13AE5" w:rsidRDefault="00847E4B" w:rsidP="00847E4B">
      <w:pPr>
        <w:spacing w:before="120" w:after="120"/>
        <w:jc w:val="both"/>
        <w:rPr>
          <w:noProof/>
          <w:sz w:val="22"/>
          <w:szCs w:val="22"/>
          <w:lang w:val="fr-FR"/>
        </w:rPr>
      </w:pPr>
      <w:r w:rsidRPr="00B13AE5">
        <w:rPr>
          <w:noProof/>
          <w:sz w:val="22"/>
          <w:szCs w:val="22"/>
          <w:lang w:val="fr-FR"/>
        </w:rPr>
        <w:lastRenderedPageBreak/>
        <w:t>Signature and date: …</w:t>
      </w:r>
    </w:p>
    <w:p w14:paraId="71DD4756" w14:textId="77777777" w:rsidR="00847E4B" w:rsidRPr="00B13AE5" w:rsidRDefault="00847E4B" w:rsidP="00847E4B">
      <w:pPr>
        <w:spacing w:before="120" w:after="120"/>
        <w:jc w:val="both"/>
        <w:rPr>
          <w:noProof/>
          <w:sz w:val="22"/>
          <w:szCs w:val="22"/>
          <w:lang w:val="fr-FR"/>
        </w:rPr>
      </w:pPr>
      <w:r w:rsidRPr="00B13AE5">
        <w:rPr>
          <w:noProof/>
          <w:sz w:val="22"/>
          <w:szCs w:val="22"/>
          <w:lang w:val="fr-FR"/>
        </w:rPr>
        <w:t>Role: …Processor</w:t>
      </w:r>
    </w:p>
    <w:p w14:paraId="2B161C40" w14:textId="77777777" w:rsidR="00873598" w:rsidRPr="00B13AE5" w:rsidRDefault="00873598" w:rsidP="00873598">
      <w:pPr>
        <w:jc w:val="both"/>
        <w:rPr>
          <w:noProof/>
          <w:sz w:val="22"/>
          <w:szCs w:val="22"/>
          <w:lang w:val="fr-FR"/>
        </w:rPr>
      </w:pPr>
      <w:r w:rsidRPr="00B13AE5">
        <w:rPr>
          <w:noProof/>
          <w:sz w:val="22"/>
          <w:szCs w:val="22"/>
          <w:lang w:val="fr-FR"/>
        </w:rPr>
        <w:t xml:space="preserve">EU Representative: </w:t>
      </w:r>
      <w:r w:rsidRPr="00B13AE5">
        <w:rPr>
          <w:noProof/>
          <w:sz w:val="22"/>
          <w:szCs w:val="22"/>
          <w:lang w:val="fr-FR"/>
        </w:rPr>
        <w:tab/>
        <w:t>Brown Rudnick</w:t>
      </w:r>
    </w:p>
    <w:p w14:paraId="0A468843" w14:textId="77777777" w:rsidR="00873598" w:rsidRPr="00B13AE5" w:rsidRDefault="00873598" w:rsidP="00873598">
      <w:pPr>
        <w:pStyle w:val="bodytext0"/>
        <w:shd w:val="clear" w:color="auto" w:fill="FEFEFE"/>
        <w:spacing w:before="0" w:beforeAutospacing="0" w:after="0" w:afterAutospacing="0"/>
        <w:ind w:left="1440" w:firstLine="720"/>
        <w:rPr>
          <w:color w:val="0A0A0A"/>
          <w:sz w:val="22"/>
          <w:szCs w:val="22"/>
          <w:lang w:val="fr-FR"/>
        </w:rPr>
      </w:pPr>
      <w:r w:rsidRPr="00B13AE5">
        <w:rPr>
          <w:color w:val="0A0A0A"/>
          <w:sz w:val="22"/>
          <w:szCs w:val="22"/>
          <w:lang w:val="fr-FR"/>
        </w:rPr>
        <w:t>1 rue François 1</w:t>
      </w:r>
      <w:r w:rsidRPr="00B13AE5">
        <w:rPr>
          <w:color w:val="0A0A0A"/>
          <w:sz w:val="22"/>
          <w:szCs w:val="22"/>
          <w:vertAlign w:val="superscript"/>
          <w:lang w:val="fr-FR"/>
        </w:rPr>
        <w:t>er</w:t>
      </w:r>
    </w:p>
    <w:p w14:paraId="4EE630FB" w14:textId="77777777" w:rsidR="00873598" w:rsidRPr="00B13AE5" w:rsidRDefault="00873598" w:rsidP="00873598">
      <w:pPr>
        <w:pStyle w:val="NormalWeb"/>
        <w:shd w:val="clear" w:color="auto" w:fill="FEFEFE"/>
        <w:spacing w:before="0" w:beforeAutospacing="0" w:after="0" w:afterAutospacing="0"/>
        <w:ind w:left="1440" w:firstLine="720"/>
        <w:rPr>
          <w:color w:val="000000"/>
          <w:sz w:val="22"/>
          <w:szCs w:val="22"/>
          <w:lang w:val="fr-FR"/>
        </w:rPr>
      </w:pPr>
      <w:r w:rsidRPr="00B13AE5">
        <w:rPr>
          <w:color w:val="000000"/>
          <w:sz w:val="22"/>
          <w:szCs w:val="22"/>
          <w:lang w:val="fr-FR"/>
        </w:rPr>
        <w:t>75008 Paris</w:t>
      </w:r>
    </w:p>
    <w:p w14:paraId="51069C9C" w14:textId="39B35F0D" w:rsidR="00847E4B" w:rsidRPr="00B13AE5" w:rsidRDefault="00873598" w:rsidP="00873598">
      <w:pPr>
        <w:pStyle w:val="bodytext0"/>
        <w:shd w:val="clear" w:color="auto" w:fill="FEFEFE"/>
        <w:spacing w:before="0" w:beforeAutospacing="0" w:after="0" w:afterAutospacing="0"/>
        <w:ind w:left="1440" w:firstLine="720"/>
        <w:rPr>
          <w:color w:val="0A0A0A"/>
          <w:sz w:val="22"/>
          <w:szCs w:val="22"/>
          <w:lang w:val="fr-FR"/>
        </w:rPr>
      </w:pPr>
      <w:r w:rsidRPr="00B13AE5">
        <w:rPr>
          <w:color w:val="0A0A0A"/>
          <w:sz w:val="22"/>
          <w:szCs w:val="22"/>
          <w:lang w:val="fr-FR"/>
        </w:rPr>
        <w:t>France</w:t>
      </w:r>
    </w:p>
    <w:p w14:paraId="172BE1A1" w14:textId="77777777" w:rsidR="00847E4B" w:rsidRPr="00847E4B" w:rsidRDefault="00847E4B" w:rsidP="00847E4B">
      <w:pPr>
        <w:spacing w:before="120" w:after="120"/>
        <w:jc w:val="both"/>
        <w:rPr>
          <w:i/>
          <w:noProof/>
          <w:sz w:val="22"/>
          <w:szCs w:val="22"/>
        </w:rPr>
      </w:pPr>
      <w:r w:rsidRPr="00B13AE5">
        <w:rPr>
          <w:noProof/>
          <w:sz w:val="22"/>
          <w:szCs w:val="22"/>
        </w:rPr>
        <w:t>2. …[</w:t>
      </w:r>
      <w:r w:rsidRPr="00B13AE5">
        <w:rPr>
          <w:i/>
          <w:noProof/>
          <w:sz w:val="22"/>
          <w:szCs w:val="22"/>
        </w:rPr>
        <w:t>Identity and contact details of the data exporter(s) and, where applicable, of its/their data protection officer and/or representative in the European Union]</w:t>
      </w:r>
      <w:r w:rsidRPr="00847E4B">
        <w:rPr>
          <w:i/>
          <w:noProof/>
          <w:sz w:val="22"/>
          <w:szCs w:val="22"/>
        </w:rPr>
        <w:t xml:space="preserve"> </w:t>
      </w:r>
    </w:p>
    <w:p w14:paraId="097B93E4" w14:textId="77777777" w:rsidR="00847E4B" w:rsidRPr="00847E4B" w:rsidRDefault="00847E4B" w:rsidP="00847E4B">
      <w:pPr>
        <w:spacing w:before="120" w:after="120"/>
        <w:jc w:val="both"/>
        <w:rPr>
          <w:noProof/>
          <w:sz w:val="22"/>
          <w:szCs w:val="22"/>
        </w:rPr>
      </w:pPr>
      <w:r w:rsidRPr="00847E4B">
        <w:rPr>
          <w:noProof/>
          <w:sz w:val="22"/>
          <w:szCs w:val="22"/>
        </w:rPr>
        <w:t>1. Name: …</w:t>
      </w:r>
    </w:p>
    <w:p w14:paraId="64E5405B" w14:textId="77777777" w:rsidR="00847E4B" w:rsidRPr="00847E4B" w:rsidRDefault="00847E4B" w:rsidP="00847E4B">
      <w:pPr>
        <w:spacing w:before="120" w:after="120"/>
        <w:jc w:val="both"/>
        <w:rPr>
          <w:noProof/>
          <w:sz w:val="22"/>
          <w:szCs w:val="22"/>
        </w:rPr>
      </w:pPr>
      <w:r w:rsidRPr="00847E4B">
        <w:rPr>
          <w:noProof/>
          <w:sz w:val="22"/>
          <w:szCs w:val="22"/>
        </w:rPr>
        <w:t>Address: …</w:t>
      </w:r>
    </w:p>
    <w:p w14:paraId="49E2DB8B" w14:textId="77777777" w:rsidR="00847E4B" w:rsidRPr="00847E4B" w:rsidRDefault="00847E4B" w:rsidP="00847E4B">
      <w:pPr>
        <w:spacing w:before="120" w:after="120"/>
        <w:jc w:val="both"/>
        <w:rPr>
          <w:noProof/>
          <w:sz w:val="22"/>
          <w:szCs w:val="22"/>
        </w:rPr>
      </w:pPr>
      <w:r w:rsidRPr="00847E4B">
        <w:rPr>
          <w:noProof/>
          <w:sz w:val="22"/>
          <w:szCs w:val="22"/>
        </w:rPr>
        <w:t>Contact person’s name, position and contact details: …</w:t>
      </w:r>
    </w:p>
    <w:p w14:paraId="1F0D4056" w14:textId="77777777" w:rsidR="00847E4B" w:rsidRPr="00847E4B" w:rsidRDefault="00847E4B" w:rsidP="00847E4B">
      <w:pPr>
        <w:spacing w:before="120" w:after="120"/>
        <w:jc w:val="both"/>
        <w:rPr>
          <w:noProof/>
          <w:sz w:val="22"/>
          <w:szCs w:val="22"/>
        </w:rPr>
      </w:pPr>
      <w:r w:rsidRPr="00847E4B">
        <w:rPr>
          <w:noProof/>
          <w:sz w:val="22"/>
          <w:szCs w:val="22"/>
        </w:rPr>
        <w:t>Activities relevant to the data transferred under these Clauses: …</w:t>
      </w:r>
    </w:p>
    <w:p w14:paraId="5A69D8BD" w14:textId="77777777" w:rsidR="00847E4B" w:rsidRPr="00847E4B" w:rsidRDefault="00847E4B" w:rsidP="00847E4B">
      <w:pPr>
        <w:spacing w:before="120" w:after="120"/>
        <w:jc w:val="both"/>
        <w:rPr>
          <w:noProof/>
          <w:sz w:val="22"/>
          <w:szCs w:val="22"/>
        </w:rPr>
      </w:pPr>
      <w:r w:rsidRPr="00847E4B">
        <w:rPr>
          <w:noProof/>
          <w:sz w:val="22"/>
          <w:szCs w:val="22"/>
        </w:rPr>
        <w:t>Signature and date: …</w:t>
      </w:r>
    </w:p>
    <w:p w14:paraId="05B2FBF2" w14:textId="31523856" w:rsidR="00847E4B" w:rsidRDefault="00847E4B" w:rsidP="00847E4B">
      <w:pPr>
        <w:spacing w:before="120" w:after="120"/>
        <w:jc w:val="both"/>
        <w:rPr>
          <w:noProof/>
          <w:sz w:val="22"/>
          <w:szCs w:val="22"/>
        </w:rPr>
      </w:pPr>
      <w:r w:rsidRPr="00847E4B">
        <w:rPr>
          <w:noProof/>
          <w:sz w:val="22"/>
          <w:szCs w:val="22"/>
        </w:rPr>
        <w:t>Role: …</w:t>
      </w:r>
      <w:r>
        <w:rPr>
          <w:noProof/>
          <w:sz w:val="22"/>
          <w:szCs w:val="22"/>
        </w:rPr>
        <w:t xml:space="preserve"> Controller</w:t>
      </w:r>
      <w:r w:rsidR="00873598">
        <w:rPr>
          <w:noProof/>
          <w:sz w:val="22"/>
          <w:szCs w:val="22"/>
        </w:rPr>
        <w:t>]</w:t>
      </w:r>
    </w:p>
    <w:p w14:paraId="3E781C46" w14:textId="77777777" w:rsidR="00847E4B" w:rsidRPr="00847E4B" w:rsidRDefault="00847E4B" w:rsidP="00847E4B">
      <w:pPr>
        <w:spacing w:before="240" w:after="120"/>
        <w:ind w:left="851"/>
        <w:jc w:val="both"/>
        <w:rPr>
          <w:b/>
          <w:noProof/>
          <w:sz w:val="22"/>
          <w:szCs w:val="22"/>
          <w:highlight w:val="lightGray"/>
        </w:rPr>
      </w:pPr>
      <w:bookmarkStart w:id="17" w:name="_Ref42601435"/>
      <w:r w:rsidRPr="00847E4B">
        <w:rPr>
          <w:b/>
          <w:noProof/>
          <w:sz w:val="22"/>
          <w:szCs w:val="22"/>
        </w:rPr>
        <w:t>B. DESCRIPTION OF TRANSFER</w:t>
      </w:r>
      <w:bookmarkEnd w:id="17"/>
    </w:p>
    <w:p w14:paraId="20E18D76" w14:textId="77777777" w:rsidR="00847E4B" w:rsidRPr="00847E4B" w:rsidRDefault="00847E4B" w:rsidP="00847E4B">
      <w:pPr>
        <w:spacing w:before="120" w:after="120"/>
        <w:jc w:val="both"/>
        <w:rPr>
          <w:i/>
          <w:noProof/>
          <w:sz w:val="22"/>
          <w:szCs w:val="22"/>
        </w:rPr>
      </w:pPr>
      <w:r w:rsidRPr="00847E4B">
        <w:rPr>
          <w:i/>
          <w:noProof/>
          <w:sz w:val="22"/>
          <w:szCs w:val="22"/>
        </w:rPr>
        <w:t>Categories of data subjects whose personal data is transferred</w:t>
      </w:r>
    </w:p>
    <w:p w14:paraId="07FCAE27" w14:textId="77777777" w:rsidR="00847E4B" w:rsidRPr="00847E4B" w:rsidRDefault="00847E4B" w:rsidP="00847E4B">
      <w:pPr>
        <w:spacing w:before="120" w:after="120"/>
        <w:jc w:val="both"/>
        <w:rPr>
          <w:i/>
          <w:noProof/>
          <w:sz w:val="22"/>
          <w:szCs w:val="22"/>
        </w:rPr>
      </w:pPr>
      <w:r w:rsidRPr="00847E4B">
        <w:rPr>
          <w:i/>
          <w:noProof/>
          <w:sz w:val="22"/>
          <w:szCs w:val="22"/>
        </w:rPr>
        <w:t>Individuals making donations to the Company, and individuals that work for the Company.Categories of personal data transferred.</w:t>
      </w:r>
    </w:p>
    <w:p w14:paraId="03B1D02F" w14:textId="77777777" w:rsidR="00847E4B" w:rsidRPr="00847E4B" w:rsidRDefault="00847E4B" w:rsidP="00847E4B">
      <w:pPr>
        <w:spacing w:before="120" w:after="120"/>
        <w:jc w:val="both"/>
        <w:rPr>
          <w:i/>
          <w:noProof/>
          <w:sz w:val="22"/>
          <w:szCs w:val="22"/>
        </w:rPr>
      </w:pPr>
      <w:r w:rsidRPr="00847E4B">
        <w:rPr>
          <w:i/>
          <w:noProof/>
          <w:sz w:val="22"/>
          <w:szCs w:val="22"/>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578C4F86" w14:textId="77777777" w:rsidR="00847E4B" w:rsidRPr="00847E4B" w:rsidRDefault="00847E4B" w:rsidP="00847E4B">
      <w:pPr>
        <w:spacing w:before="120" w:after="120"/>
        <w:jc w:val="both"/>
        <w:rPr>
          <w:i/>
          <w:noProof/>
          <w:sz w:val="22"/>
          <w:szCs w:val="22"/>
        </w:rPr>
      </w:pPr>
      <w:r w:rsidRPr="00847E4B">
        <w:rPr>
          <w:i/>
          <w:noProof/>
          <w:sz w:val="22"/>
          <w:szCs w:val="22"/>
        </w:rPr>
        <w:t>No sensitive data collected, received or processed.</w:t>
      </w:r>
    </w:p>
    <w:p w14:paraId="3CD3A737" w14:textId="77777777" w:rsidR="00847E4B" w:rsidRPr="00847E4B" w:rsidRDefault="00847E4B" w:rsidP="00847E4B">
      <w:pPr>
        <w:spacing w:before="120" w:after="120"/>
        <w:jc w:val="both"/>
        <w:rPr>
          <w:i/>
          <w:noProof/>
          <w:sz w:val="22"/>
          <w:szCs w:val="22"/>
        </w:rPr>
      </w:pPr>
      <w:r w:rsidRPr="00847E4B">
        <w:rPr>
          <w:i/>
          <w:noProof/>
          <w:sz w:val="22"/>
          <w:szCs w:val="22"/>
        </w:rPr>
        <w:t>The frequency of the transfer (e.g. whether the data is transferred on a one-off or continuous basis).</w:t>
      </w:r>
    </w:p>
    <w:p w14:paraId="1EC2B329" w14:textId="77777777" w:rsidR="00847E4B" w:rsidRPr="00847E4B" w:rsidRDefault="00847E4B" w:rsidP="00847E4B">
      <w:pPr>
        <w:spacing w:before="120" w:after="120"/>
        <w:jc w:val="both"/>
        <w:rPr>
          <w:i/>
          <w:noProof/>
          <w:sz w:val="22"/>
          <w:szCs w:val="22"/>
        </w:rPr>
      </w:pPr>
      <w:r w:rsidRPr="00847E4B">
        <w:rPr>
          <w:i/>
          <w:noProof/>
          <w:sz w:val="22"/>
          <w:szCs w:val="22"/>
        </w:rPr>
        <w:t>Continuous</w:t>
      </w:r>
    </w:p>
    <w:p w14:paraId="2E5FFEFE" w14:textId="77777777" w:rsidR="00847E4B" w:rsidRPr="00847E4B" w:rsidRDefault="00847E4B" w:rsidP="00847E4B">
      <w:pPr>
        <w:spacing w:before="120" w:after="120"/>
        <w:jc w:val="both"/>
        <w:rPr>
          <w:i/>
          <w:noProof/>
          <w:sz w:val="22"/>
          <w:szCs w:val="22"/>
        </w:rPr>
      </w:pPr>
      <w:r w:rsidRPr="00847E4B">
        <w:rPr>
          <w:i/>
          <w:noProof/>
          <w:sz w:val="22"/>
          <w:szCs w:val="22"/>
        </w:rPr>
        <w:t>Nature of the processing</w:t>
      </w:r>
    </w:p>
    <w:p w14:paraId="33C61A9C" w14:textId="77777777" w:rsidR="00847E4B" w:rsidRPr="00847E4B" w:rsidRDefault="00847E4B" w:rsidP="00847E4B">
      <w:pPr>
        <w:spacing w:before="120" w:after="120"/>
        <w:jc w:val="both"/>
        <w:rPr>
          <w:i/>
          <w:noProof/>
          <w:sz w:val="22"/>
          <w:szCs w:val="22"/>
        </w:rPr>
      </w:pPr>
      <w:r w:rsidRPr="00847E4B">
        <w:rPr>
          <w:i/>
          <w:noProof/>
          <w:sz w:val="22"/>
          <w:szCs w:val="22"/>
        </w:rPr>
        <w:t>Receive, collect, store, use, adapt and retrieve the data.</w:t>
      </w:r>
    </w:p>
    <w:p w14:paraId="51F79F53" w14:textId="77777777" w:rsidR="00847E4B" w:rsidRPr="00847E4B" w:rsidRDefault="00847E4B" w:rsidP="00847E4B">
      <w:pPr>
        <w:spacing w:before="120" w:after="120"/>
        <w:jc w:val="both"/>
        <w:rPr>
          <w:i/>
          <w:noProof/>
          <w:sz w:val="22"/>
          <w:szCs w:val="22"/>
        </w:rPr>
      </w:pPr>
      <w:r w:rsidRPr="00847E4B">
        <w:rPr>
          <w:i/>
          <w:noProof/>
          <w:sz w:val="22"/>
          <w:szCs w:val="22"/>
        </w:rPr>
        <w:t>Purpose(s) of the data transfer and further processing</w:t>
      </w:r>
    </w:p>
    <w:p w14:paraId="23A80606" w14:textId="77777777" w:rsidR="00847E4B" w:rsidRPr="00847E4B" w:rsidRDefault="00847E4B" w:rsidP="00847E4B">
      <w:pPr>
        <w:spacing w:before="120" w:after="120"/>
        <w:jc w:val="both"/>
        <w:rPr>
          <w:i/>
          <w:noProof/>
          <w:sz w:val="22"/>
          <w:szCs w:val="22"/>
        </w:rPr>
      </w:pPr>
      <w:r w:rsidRPr="00847E4B">
        <w:rPr>
          <w:i/>
          <w:noProof/>
          <w:sz w:val="22"/>
          <w:szCs w:val="22"/>
        </w:rPr>
        <w:t>To allow Vendor to provide services to Compan.</w:t>
      </w:r>
    </w:p>
    <w:p w14:paraId="7FFBE9F8" w14:textId="77777777" w:rsidR="00847E4B" w:rsidRPr="00847E4B" w:rsidRDefault="00847E4B" w:rsidP="00847E4B">
      <w:pPr>
        <w:spacing w:before="120" w:after="120"/>
        <w:jc w:val="both"/>
        <w:rPr>
          <w:i/>
          <w:noProof/>
          <w:sz w:val="22"/>
          <w:szCs w:val="22"/>
        </w:rPr>
      </w:pPr>
      <w:r w:rsidRPr="00847E4B">
        <w:rPr>
          <w:i/>
          <w:noProof/>
          <w:sz w:val="22"/>
          <w:szCs w:val="22"/>
        </w:rPr>
        <w:t xml:space="preserve">The period for which the personal data will be retained, or, if that is not possible, the criteria used to determine that period </w:t>
      </w:r>
    </w:p>
    <w:p w14:paraId="7E4BCE78" w14:textId="77777777" w:rsidR="00847E4B" w:rsidRPr="00847E4B" w:rsidRDefault="00847E4B" w:rsidP="00847E4B">
      <w:pPr>
        <w:spacing w:before="120" w:after="120"/>
        <w:jc w:val="both"/>
        <w:rPr>
          <w:i/>
          <w:noProof/>
          <w:sz w:val="22"/>
          <w:szCs w:val="22"/>
        </w:rPr>
      </w:pPr>
      <w:r w:rsidRPr="00847E4B">
        <w:rPr>
          <w:i/>
          <w:noProof/>
          <w:sz w:val="22"/>
          <w:szCs w:val="22"/>
        </w:rPr>
        <w:t>For the term of the provision of Vendor’s services to Company.</w:t>
      </w:r>
    </w:p>
    <w:p w14:paraId="3D3CC9B4" w14:textId="77777777" w:rsidR="00847E4B" w:rsidRPr="00847E4B" w:rsidRDefault="00847E4B" w:rsidP="00847E4B">
      <w:pPr>
        <w:spacing w:before="120" w:after="120"/>
        <w:jc w:val="both"/>
        <w:rPr>
          <w:i/>
          <w:noProof/>
          <w:sz w:val="22"/>
          <w:szCs w:val="22"/>
        </w:rPr>
      </w:pPr>
      <w:r w:rsidRPr="00847E4B">
        <w:rPr>
          <w:i/>
          <w:noProof/>
          <w:sz w:val="22"/>
          <w:szCs w:val="22"/>
        </w:rPr>
        <w:t>For transfers to (sub-) processors, also specify subject matter, nature and duration of the processing</w:t>
      </w:r>
    </w:p>
    <w:p w14:paraId="6012DED2" w14:textId="77777777" w:rsidR="00847E4B" w:rsidRPr="00847E4B" w:rsidRDefault="00847E4B" w:rsidP="00847E4B">
      <w:pPr>
        <w:spacing w:before="120" w:after="120"/>
        <w:jc w:val="both"/>
        <w:rPr>
          <w:i/>
          <w:noProof/>
          <w:sz w:val="22"/>
          <w:szCs w:val="22"/>
        </w:rPr>
      </w:pPr>
      <w:r w:rsidRPr="00B13AE5">
        <w:rPr>
          <w:i/>
          <w:noProof/>
          <w:sz w:val="22"/>
          <w:szCs w:val="22"/>
        </w:rPr>
        <w:t>……………………..</w:t>
      </w:r>
    </w:p>
    <w:p w14:paraId="4EFB15B9" w14:textId="77777777" w:rsidR="00847E4B" w:rsidRPr="00847E4B" w:rsidRDefault="00847E4B" w:rsidP="00847E4B">
      <w:pPr>
        <w:spacing w:before="120" w:after="120"/>
        <w:jc w:val="both"/>
        <w:rPr>
          <w:i/>
          <w:noProof/>
          <w:sz w:val="22"/>
          <w:szCs w:val="22"/>
        </w:rPr>
      </w:pPr>
    </w:p>
    <w:p w14:paraId="117D4894" w14:textId="77777777" w:rsidR="00847E4B" w:rsidRPr="00847E4B" w:rsidRDefault="00847E4B" w:rsidP="00847E4B">
      <w:pPr>
        <w:rPr>
          <w:b/>
          <w:noProof/>
          <w:sz w:val="22"/>
          <w:szCs w:val="22"/>
        </w:rPr>
      </w:pPr>
      <w:r w:rsidRPr="00847E4B">
        <w:rPr>
          <w:b/>
          <w:noProof/>
          <w:sz w:val="22"/>
          <w:szCs w:val="22"/>
        </w:rPr>
        <w:br w:type="page"/>
      </w:r>
    </w:p>
    <w:p w14:paraId="0E561E99" w14:textId="77777777" w:rsidR="00847E4B" w:rsidRPr="00847E4B" w:rsidRDefault="00847E4B" w:rsidP="00847E4B">
      <w:pPr>
        <w:spacing w:before="120" w:after="120"/>
        <w:ind w:left="850"/>
        <w:jc w:val="both"/>
        <w:rPr>
          <w:i/>
          <w:noProof/>
          <w:sz w:val="22"/>
          <w:szCs w:val="22"/>
        </w:rPr>
      </w:pPr>
      <w:r w:rsidRPr="00847E4B">
        <w:rPr>
          <w:b/>
          <w:noProof/>
          <w:sz w:val="22"/>
          <w:szCs w:val="22"/>
        </w:rPr>
        <w:lastRenderedPageBreak/>
        <w:t>C. COMPETENT SUPERVISORY AUTHORITY</w:t>
      </w:r>
    </w:p>
    <w:p w14:paraId="18E09C57" w14:textId="77777777" w:rsidR="00847E4B" w:rsidRPr="00847E4B" w:rsidRDefault="00847E4B" w:rsidP="00847E4B">
      <w:pPr>
        <w:spacing w:before="120" w:after="120"/>
        <w:jc w:val="both"/>
        <w:rPr>
          <w:i/>
          <w:noProof/>
          <w:sz w:val="22"/>
          <w:szCs w:val="22"/>
        </w:rPr>
      </w:pPr>
      <w:r w:rsidRPr="00847E4B">
        <w:rPr>
          <w:i/>
          <w:noProof/>
          <w:sz w:val="22"/>
          <w:szCs w:val="22"/>
        </w:rPr>
        <w:t>Identify the competent supervisory authority/ies in accordance with Clause 13</w:t>
      </w:r>
    </w:p>
    <w:p w14:paraId="7BDA7764" w14:textId="77777777" w:rsidR="00847E4B" w:rsidRPr="00847E4B" w:rsidRDefault="00847E4B" w:rsidP="00847E4B">
      <w:pPr>
        <w:spacing w:before="120" w:after="120"/>
        <w:rPr>
          <w:b/>
          <w:i/>
          <w:noProof/>
          <w:sz w:val="22"/>
          <w:szCs w:val="22"/>
          <w:u w:val="single"/>
          <w:lang w:val="fr-FR"/>
        </w:rPr>
      </w:pPr>
      <w:r w:rsidRPr="00847E4B">
        <w:rPr>
          <w:i/>
          <w:noProof/>
          <w:sz w:val="22"/>
          <w:szCs w:val="22"/>
          <w:lang w:val="fr-FR"/>
        </w:rPr>
        <w:t>Commission nationale de l'informatique et des libertés.</w:t>
      </w:r>
      <w:r w:rsidRPr="00847E4B">
        <w:rPr>
          <w:b/>
          <w:i/>
          <w:noProof/>
          <w:sz w:val="22"/>
          <w:szCs w:val="22"/>
          <w:u w:val="single"/>
          <w:lang w:val="fr-FR"/>
        </w:rPr>
        <w:br w:type="page"/>
      </w:r>
    </w:p>
    <w:p w14:paraId="0723239A" w14:textId="77777777" w:rsidR="00847E4B" w:rsidRPr="00847E4B" w:rsidRDefault="00847E4B" w:rsidP="00847E4B">
      <w:pPr>
        <w:spacing w:before="120" w:after="120"/>
        <w:jc w:val="both"/>
        <w:rPr>
          <w:noProof/>
          <w:sz w:val="22"/>
          <w:szCs w:val="22"/>
        </w:rPr>
      </w:pPr>
      <w:r w:rsidRPr="00847E4B">
        <w:rPr>
          <w:b/>
          <w:noProof/>
          <w:sz w:val="22"/>
          <w:szCs w:val="22"/>
          <w:u w:val="single"/>
        </w:rPr>
        <w:lastRenderedPageBreak/>
        <w:t>ANNEX II - TECHNICAL AND ORGANISATIONAL MEASURES INCLUDING TECHNICAL AND ORGANISATIONAL MEASURES TO ENSURE THE SECURITY OF THE DATA</w:t>
      </w:r>
    </w:p>
    <w:p w14:paraId="6A19908D" w14:textId="77777777" w:rsidR="00847E4B" w:rsidRPr="00847E4B" w:rsidRDefault="00847E4B" w:rsidP="00847E4B">
      <w:pPr>
        <w:spacing w:before="120" w:after="240"/>
        <w:jc w:val="both"/>
        <w:rPr>
          <w:noProof/>
          <w:sz w:val="22"/>
          <w:szCs w:val="22"/>
        </w:rPr>
      </w:pPr>
    </w:p>
    <w:p w14:paraId="71CB679B" w14:textId="77777777" w:rsidR="00847E4B" w:rsidRPr="00847E4B" w:rsidRDefault="00847E4B" w:rsidP="00847E4B">
      <w:pPr>
        <w:spacing w:before="120" w:after="240"/>
        <w:jc w:val="both"/>
        <w:rPr>
          <w:noProof/>
          <w:sz w:val="22"/>
          <w:szCs w:val="22"/>
        </w:rPr>
      </w:pPr>
      <w:r w:rsidRPr="00847E4B">
        <w:rPr>
          <w:noProof/>
          <w:sz w:val="22"/>
          <w:szCs w:val="22"/>
        </w:rPr>
        <w:t>Secure socket layer level encryption; least privilege access; access control list and log; strictly enforced password policies; annual third party audit of security measures; and the entire network on which the e-commerce platform exists on a virtual private network.</w:t>
      </w:r>
      <w:bookmarkStart w:id="18" w:name="_Toc14271725"/>
      <w:bookmarkStart w:id="19" w:name="_Toc14271929"/>
      <w:bookmarkStart w:id="20" w:name="_Toc14391529"/>
      <w:bookmarkStart w:id="21" w:name="_Toc14391611"/>
      <w:bookmarkStart w:id="22" w:name="_Toc14391847"/>
      <w:bookmarkStart w:id="23" w:name="_Toc14435437"/>
      <w:bookmarkEnd w:id="18"/>
      <w:bookmarkEnd w:id="19"/>
      <w:bookmarkEnd w:id="20"/>
      <w:bookmarkEnd w:id="21"/>
      <w:bookmarkEnd w:id="22"/>
      <w:bookmarkEnd w:id="23"/>
    </w:p>
    <w:p w14:paraId="4D454812" w14:textId="57BEF44C" w:rsidR="00527F3A" w:rsidRDefault="00527F3A">
      <w:pPr>
        <w:rPr>
          <w:rFonts w:eastAsia="Times New Roman"/>
        </w:rPr>
      </w:pPr>
      <w:r>
        <w:br w:type="page"/>
      </w:r>
    </w:p>
    <w:p w14:paraId="53AEF12F" w14:textId="26B9C272" w:rsidR="00A677EF" w:rsidRPr="00527F3A" w:rsidRDefault="00527F3A" w:rsidP="00527F3A">
      <w:pPr>
        <w:pStyle w:val="BodyText"/>
        <w:ind w:firstLine="0"/>
        <w:jc w:val="center"/>
        <w:rPr>
          <w:b/>
          <w:bCs/>
        </w:rPr>
      </w:pPr>
      <w:r w:rsidRPr="00527F3A">
        <w:rPr>
          <w:b/>
          <w:bCs/>
        </w:rPr>
        <w:lastRenderedPageBreak/>
        <w:t>ANNEX III</w:t>
      </w:r>
    </w:p>
    <w:p w14:paraId="6DD58F6A" w14:textId="77777777" w:rsidR="00527F3A" w:rsidRPr="00E6761E" w:rsidRDefault="00527F3A" w:rsidP="00527F3A">
      <w:pPr>
        <w:pStyle w:val="Heading1"/>
      </w:pPr>
      <w:r w:rsidRPr="00E6761E">
        <w:rPr>
          <w:noProof/>
        </w:rPr>
        <w:drawing>
          <wp:anchor distT="0" distB="0" distL="114300" distR="114300" simplePos="0" relativeHeight="251659264" behindDoc="0" locked="0" layoutInCell="1" allowOverlap="1" wp14:anchorId="1F585AA9" wp14:editId="1B9ABD25">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Pr="00E6761E">
        <w:t>Standard Data Protection Clauses to be issued by the Commissioner under S119</w:t>
      </w:r>
      <w:proofErr w:type="gramStart"/>
      <w:r w:rsidRPr="00E6761E">
        <w:t>A(</w:t>
      </w:r>
      <w:proofErr w:type="gramEnd"/>
      <w:r w:rsidRPr="00E6761E">
        <w:t>1) Data Protection Act 2018</w:t>
      </w:r>
    </w:p>
    <w:p w14:paraId="34EBD530" w14:textId="77777777" w:rsidR="00527F3A" w:rsidRPr="00E6761E" w:rsidRDefault="00527F3A" w:rsidP="00527F3A">
      <w:pPr>
        <w:pStyle w:val="Heading2"/>
        <w:rPr>
          <w:b/>
        </w:rPr>
      </w:pPr>
      <w:r w:rsidRPr="00E6761E">
        <w:t>International Data Transfer Addendum to the EU Commission Standard Contractual Clauses</w:t>
      </w:r>
    </w:p>
    <w:p w14:paraId="565E59B1" w14:textId="77777777" w:rsidR="00527F3A" w:rsidRPr="00E6761E" w:rsidRDefault="00527F3A" w:rsidP="00527F3A">
      <w:pPr>
        <w:pBdr>
          <w:bottom w:val="single" w:sz="4" w:space="16" w:color="003768"/>
        </w:pBdr>
        <w:spacing w:before="200" w:after="360"/>
        <w:rPr>
          <w:rFonts w:eastAsia="Times New Roman"/>
          <w:b/>
          <w:color w:val="54534A"/>
          <w:szCs w:val="18"/>
        </w:rPr>
      </w:pPr>
      <w:r>
        <w:rPr>
          <w:rFonts w:eastAsia="Times New Roman"/>
          <w:b/>
          <w:color w:val="54534A"/>
          <w:szCs w:val="18"/>
        </w:rPr>
        <w:t>VERSION</w:t>
      </w:r>
      <w:r w:rsidRPr="00D835BF">
        <w:rPr>
          <w:rFonts w:eastAsia="Times New Roman"/>
          <w:b/>
          <w:color w:val="54534A"/>
          <w:szCs w:val="18"/>
        </w:rPr>
        <w:t xml:space="preserve"> B1.0, in force 21 March 202</w:t>
      </w:r>
      <w:r>
        <w:rPr>
          <w:rFonts w:eastAsia="Times New Roman"/>
          <w:b/>
          <w:color w:val="54534A"/>
          <w:szCs w:val="18"/>
        </w:rPr>
        <w:t>2</w:t>
      </w:r>
    </w:p>
    <w:p w14:paraId="7CA3D189" w14:textId="77777777" w:rsidR="00527F3A" w:rsidRDefault="00527F3A" w:rsidP="00527F3A">
      <w:r w:rsidRPr="00E6761E">
        <w:rPr>
          <w:rFonts w:eastAsia="Times New Roman"/>
          <w:szCs w:val="18"/>
        </w:rPr>
        <w:t>This</w:t>
      </w:r>
      <w:bookmarkStart w:id="24" w:name="_Hlk92884578"/>
      <w:r>
        <w:rPr>
          <w:rFonts w:eastAsia="Times New Roman"/>
          <w:szCs w:val="18"/>
        </w:rPr>
        <w:t xml:space="preserve"> </w:t>
      </w:r>
      <w:r>
        <w:t>Addendum</w:t>
      </w:r>
      <w:r w:rsidRPr="0012506A">
        <w:t xml:space="preserve"> has been issued by the Information Commissioner for Parties making </w:t>
      </w:r>
      <w:r>
        <w:t>R</w:t>
      </w:r>
      <w:r w:rsidRPr="0012506A">
        <w:t xml:space="preserve">estricted </w:t>
      </w:r>
      <w:r>
        <w:t>T</w:t>
      </w:r>
      <w:r w:rsidRPr="0012506A">
        <w:t xml:space="preserve">ransfers. The Information Commissioner considers that it provides Appropriate Safeguards for </w:t>
      </w:r>
      <w:r>
        <w:t>R</w:t>
      </w:r>
      <w:r w:rsidRPr="0012506A">
        <w:t xml:space="preserve">estricted </w:t>
      </w:r>
      <w:r>
        <w:t>T</w:t>
      </w:r>
      <w:r w:rsidRPr="0012506A">
        <w:t>ransfers when it is entered into as a legally binding contract.</w:t>
      </w:r>
      <w:bookmarkStart w:id="25" w:name="_Hlk92885565"/>
      <w:bookmarkEnd w:id="24"/>
    </w:p>
    <w:p w14:paraId="33AA66BD" w14:textId="77777777" w:rsidR="00527F3A" w:rsidRDefault="00527F3A" w:rsidP="00527F3A">
      <w:pPr>
        <w:pStyle w:val="Heading2"/>
      </w:pPr>
      <w:bookmarkStart w:id="26" w:name="_Toc79405424"/>
      <w:r>
        <w:t xml:space="preserve">Part 1: </w:t>
      </w:r>
      <w:r w:rsidRPr="009426CA">
        <w:t>Tables</w:t>
      </w:r>
      <w:bookmarkEnd w:id="26"/>
    </w:p>
    <w:p w14:paraId="2B341EC7" w14:textId="77777777" w:rsidR="00527F3A" w:rsidRPr="00E3487F" w:rsidRDefault="00527F3A" w:rsidP="00527F3A">
      <w:pPr>
        <w:pStyle w:val="Heading3"/>
      </w:pPr>
      <w:r>
        <w:t xml:space="preserve">Table </w:t>
      </w:r>
      <w:r w:rsidRPr="001F67AB">
        <w:t>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201"/>
        <w:gridCol w:w="3574"/>
        <w:gridCol w:w="3575"/>
      </w:tblGrid>
      <w:tr w:rsidR="00527F3A" w:rsidRPr="007E412D" w14:paraId="6F1A7513" w14:textId="77777777" w:rsidTr="002C3C05">
        <w:tc>
          <w:tcPr>
            <w:tcW w:w="1177" w:type="pct"/>
            <w:tcBorders>
              <w:top w:val="single" w:sz="4" w:space="0" w:color="FFC000"/>
            </w:tcBorders>
            <w:shd w:val="clear" w:color="auto" w:fill="FFF9DD"/>
          </w:tcPr>
          <w:p w14:paraId="098D8207" w14:textId="77777777" w:rsidR="00527F3A" w:rsidRPr="007E412D" w:rsidRDefault="00527F3A" w:rsidP="002C3C05">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14C1EFD5" w14:textId="77777777" w:rsidR="00527F3A" w:rsidRPr="007E412D" w:rsidRDefault="00527F3A" w:rsidP="002C3C05">
            <w:pPr>
              <w:pStyle w:val="Body"/>
            </w:pPr>
          </w:p>
        </w:tc>
      </w:tr>
      <w:tr w:rsidR="00527F3A" w:rsidRPr="007E412D" w14:paraId="34E4F640" w14:textId="77777777" w:rsidTr="002C3C05">
        <w:tc>
          <w:tcPr>
            <w:tcW w:w="1177" w:type="pct"/>
            <w:shd w:val="clear" w:color="auto" w:fill="FFF0A9"/>
            <w:vAlign w:val="center"/>
          </w:tcPr>
          <w:p w14:paraId="650A4AAB" w14:textId="77777777" w:rsidR="00527F3A" w:rsidRPr="007E412D" w:rsidRDefault="00527F3A" w:rsidP="002C3C05">
            <w:pPr>
              <w:pStyle w:val="Body"/>
              <w:rPr>
                <w:b/>
                <w:bCs/>
                <w:color w:val="003768"/>
              </w:rPr>
            </w:pPr>
            <w:r w:rsidRPr="007E412D">
              <w:rPr>
                <w:b/>
                <w:bCs/>
                <w:color w:val="003768"/>
              </w:rPr>
              <w:t>The Parties</w:t>
            </w:r>
          </w:p>
        </w:tc>
        <w:tc>
          <w:tcPr>
            <w:tcW w:w="1911" w:type="pct"/>
            <w:shd w:val="clear" w:color="auto" w:fill="FFF0A9"/>
            <w:vAlign w:val="center"/>
          </w:tcPr>
          <w:p w14:paraId="56DF6A32" w14:textId="77777777" w:rsidR="00527F3A" w:rsidRPr="007E412D" w:rsidRDefault="00527F3A" w:rsidP="002C3C05">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53F9E577" w14:textId="77777777" w:rsidR="00527F3A" w:rsidRPr="007E412D" w:rsidRDefault="00527F3A" w:rsidP="002C3C05">
            <w:pPr>
              <w:pStyle w:val="Body"/>
              <w:rPr>
                <w:b/>
                <w:bCs/>
                <w:color w:val="003768"/>
              </w:rPr>
            </w:pPr>
            <w:r w:rsidRPr="007E412D">
              <w:rPr>
                <w:b/>
                <w:bCs/>
                <w:color w:val="003768"/>
              </w:rPr>
              <w:t>Importer (who receives the Restricted Transfer)</w:t>
            </w:r>
          </w:p>
        </w:tc>
      </w:tr>
      <w:tr w:rsidR="00527F3A" w:rsidRPr="007E412D" w14:paraId="0E8F823E" w14:textId="77777777" w:rsidTr="002C3C05">
        <w:tc>
          <w:tcPr>
            <w:tcW w:w="1177" w:type="pct"/>
            <w:shd w:val="clear" w:color="auto" w:fill="FFF9DD"/>
          </w:tcPr>
          <w:p w14:paraId="4EC7BDEE" w14:textId="77777777" w:rsidR="00527F3A" w:rsidRPr="007E412D" w:rsidRDefault="00527F3A" w:rsidP="002C3C05">
            <w:pPr>
              <w:pStyle w:val="Body"/>
              <w:rPr>
                <w:b/>
                <w:bCs/>
                <w:color w:val="003768"/>
              </w:rPr>
            </w:pPr>
            <w:r w:rsidRPr="007E412D">
              <w:rPr>
                <w:b/>
                <w:bCs/>
                <w:color w:val="003768"/>
              </w:rPr>
              <w:t>Parties’ details</w:t>
            </w:r>
          </w:p>
        </w:tc>
        <w:tc>
          <w:tcPr>
            <w:tcW w:w="1911" w:type="pct"/>
          </w:tcPr>
          <w:p w14:paraId="5FCE34A4" w14:textId="77777777" w:rsidR="00527F3A" w:rsidRPr="007E412D" w:rsidRDefault="00527F3A" w:rsidP="002C3C05">
            <w:pPr>
              <w:pStyle w:val="Body"/>
            </w:pPr>
            <w:r w:rsidRPr="007E412D">
              <w:t>Full legal name:</w:t>
            </w:r>
            <w:r>
              <w:t xml:space="preserve"> </w:t>
            </w:r>
            <w:bookmarkStart w:id="27" w:name="_Hlk93316049"/>
            <w:r w:rsidRPr="001314F2">
              <w:rPr>
                <w:highlight w:val="lightGray"/>
              </w:rPr>
              <w:fldChar w:fldCharType="begin" w:fldLock="1">
                <w:ffData>
                  <w:name w:val="Text2"/>
                  <w:enabled/>
                  <w:calcOnExit w:val="0"/>
                  <w:textInput/>
                </w:ffData>
              </w:fldChar>
            </w:r>
            <w:bookmarkStart w:id="28" w:name="Text2"/>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bookmarkEnd w:id="27"/>
            <w:bookmarkEnd w:id="28"/>
          </w:p>
          <w:p w14:paraId="04C667F9" w14:textId="77777777" w:rsidR="00527F3A" w:rsidRPr="007E412D" w:rsidRDefault="00527F3A" w:rsidP="002C3C0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A8F809E" w14:textId="77777777" w:rsidR="00527F3A" w:rsidRPr="007E412D" w:rsidRDefault="00527F3A" w:rsidP="002C3C05">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E45F9F9" w14:textId="77777777" w:rsidR="00527F3A" w:rsidRPr="007E412D" w:rsidRDefault="00527F3A" w:rsidP="002C3C05">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5D93B7B9" w14:textId="77777777" w:rsidR="00527F3A" w:rsidRPr="007E412D" w:rsidRDefault="00527F3A" w:rsidP="002C3C05">
            <w:pPr>
              <w:pStyle w:val="Body"/>
            </w:pPr>
            <w:r w:rsidRPr="007E412D">
              <w:t>Full legal name:</w:t>
            </w:r>
            <w:r>
              <w:t xml:space="preserve"> Fundraise Up Inc.</w:t>
            </w:r>
          </w:p>
          <w:p w14:paraId="06FC0E33" w14:textId="77777777" w:rsidR="00527F3A" w:rsidRPr="007E412D" w:rsidRDefault="00527F3A" w:rsidP="002C3C0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EB973C7" w14:textId="77777777" w:rsidR="00527F3A" w:rsidRPr="007E412D" w:rsidRDefault="00527F3A" w:rsidP="002C3C05">
            <w:pPr>
              <w:pStyle w:val="Body"/>
            </w:pPr>
            <w:r w:rsidRPr="007E412D">
              <w:t>Main address (if a company registered address):</w:t>
            </w:r>
            <w:r>
              <w:t xml:space="preserve"> 114 8</w:t>
            </w:r>
            <w:r w:rsidRPr="00F01F58">
              <w:rPr>
                <w:vertAlign w:val="superscript"/>
              </w:rPr>
              <w:t>th</w:t>
            </w:r>
            <w:r>
              <w:t xml:space="preserve"> Street, Brooklyn, New York 11215 USA</w:t>
            </w:r>
          </w:p>
          <w:p w14:paraId="7B9B4413" w14:textId="77777777" w:rsidR="00527F3A" w:rsidRPr="007E412D" w:rsidRDefault="00527F3A" w:rsidP="002C3C05">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527F3A" w:rsidRPr="007E412D" w14:paraId="52457B91" w14:textId="77777777" w:rsidTr="002C3C05">
        <w:tc>
          <w:tcPr>
            <w:tcW w:w="1177" w:type="pct"/>
            <w:shd w:val="clear" w:color="auto" w:fill="FFF9DD"/>
          </w:tcPr>
          <w:p w14:paraId="32844962" w14:textId="77777777" w:rsidR="00527F3A" w:rsidRPr="007E412D" w:rsidRDefault="00527F3A" w:rsidP="002C3C05">
            <w:pPr>
              <w:pStyle w:val="Body"/>
              <w:rPr>
                <w:b/>
                <w:bCs/>
                <w:color w:val="003768"/>
              </w:rPr>
            </w:pPr>
            <w:r w:rsidRPr="007E412D">
              <w:rPr>
                <w:b/>
                <w:bCs/>
                <w:color w:val="003768"/>
              </w:rPr>
              <w:t>Key Contact</w:t>
            </w:r>
          </w:p>
        </w:tc>
        <w:tc>
          <w:tcPr>
            <w:tcW w:w="1911" w:type="pct"/>
          </w:tcPr>
          <w:p w14:paraId="18000BAC" w14:textId="77777777" w:rsidR="00527F3A" w:rsidRPr="007E412D" w:rsidRDefault="00527F3A" w:rsidP="002C3C05">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54CC7B82" w14:textId="77777777" w:rsidR="00527F3A" w:rsidRPr="007E412D" w:rsidRDefault="00527F3A" w:rsidP="002C3C05">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3AB02A4" w14:textId="77777777" w:rsidR="00527F3A" w:rsidRPr="007E412D" w:rsidRDefault="00527F3A" w:rsidP="002C3C05">
            <w:pPr>
              <w:pStyle w:val="Body"/>
            </w:pPr>
            <w:r w:rsidRPr="007E412D">
              <w:lastRenderedPageBreak/>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1291344F" w14:textId="77777777" w:rsidR="00527F3A" w:rsidRPr="007E412D" w:rsidRDefault="00527F3A" w:rsidP="002C3C05">
            <w:pPr>
              <w:pStyle w:val="Body"/>
            </w:pPr>
            <w:r w:rsidRPr="007E412D">
              <w:lastRenderedPageBreak/>
              <w:t>Full Name (optional):</w:t>
            </w:r>
            <w:r>
              <w:t xml:space="preserve"> </w:t>
            </w:r>
            <w:proofErr w:type="spellStart"/>
            <w:r>
              <w:t>Yuriy</w:t>
            </w:r>
            <w:proofErr w:type="spellEnd"/>
            <w:r>
              <w:t xml:space="preserve"> Smirnov</w:t>
            </w:r>
          </w:p>
          <w:p w14:paraId="67906F4C" w14:textId="77777777" w:rsidR="00527F3A" w:rsidRPr="007E412D" w:rsidRDefault="00527F3A" w:rsidP="002C3C05">
            <w:pPr>
              <w:pStyle w:val="Body"/>
            </w:pPr>
            <w:r w:rsidRPr="007E412D">
              <w:lastRenderedPageBreak/>
              <w:t>Job Title:</w:t>
            </w:r>
            <w:r>
              <w:t xml:space="preserve"> Chief Technology Officer </w:t>
            </w:r>
          </w:p>
          <w:p w14:paraId="2B0AA415" w14:textId="77777777" w:rsidR="00527F3A" w:rsidRPr="007E412D" w:rsidRDefault="00527F3A" w:rsidP="002C3C05">
            <w:pPr>
              <w:pStyle w:val="Body"/>
            </w:pPr>
            <w:r w:rsidRPr="007E412D">
              <w:t>Contact details including email</w:t>
            </w:r>
            <w:r>
              <w:t xml:space="preserve">: 718-599-1129, </w:t>
            </w:r>
            <w:hyperlink r:id="rId12" w:history="1">
              <w:r w:rsidRPr="00F76661">
                <w:rPr>
                  <w:rStyle w:val="Hyperlink"/>
                </w:rPr>
                <w:t>legal@fundraiseup.com</w:t>
              </w:r>
            </w:hyperlink>
          </w:p>
        </w:tc>
      </w:tr>
      <w:tr w:rsidR="00527F3A" w:rsidRPr="007E412D" w14:paraId="720A9CF4" w14:textId="77777777" w:rsidTr="002C3C05">
        <w:tc>
          <w:tcPr>
            <w:tcW w:w="1177" w:type="pct"/>
            <w:tcBorders>
              <w:bottom w:val="single" w:sz="18" w:space="0" w:color="FFC000"/>
            </w:tcBorders>
            <w:shd w:val="clear" w:color="auto" w:fill="FFF9DD"/>
          </w:tcPr>
          <w:p w14:paraId="4EA23D85" w14:textId="77777777" w:rsidR="00527F3A" w:rsidRPr="007E412D" w:rsidRDefault="00527F3A" w:rsidP="002C3C05">
            <w:pPr>
              <w:pStyle w:val="Body"/>
              <w:rPr>
                <w:b/>
                <w:bCs/>
                <w:color w:val="003768"/>
              </w:rPr>
            </w:pPr>
            <w:r w:rsidRPr="00AF5D93">
              <w:rPr>
                <w:b/>
                <w:bCs/>
                <w:color w:val="003768"/>
              </w:rPr>
              <w:lastRenderedPageBreak/>
              <w:t xml:space="preserve">Signature (if required for the purposes of Section </w:t>
            </w:r>
            <w:r w:rsidRPr="00AF5D93">
              <w:rPr>
                <w:rFonts w:ascii="Arial" w:hAnsi="Arial" w:cs="Arial"/>
                <w:b/>
                <w:bCs/>
                <w:color w:val="003768"/>
              </w:rPr>
              <w:t>‎</w:t>
            </w:r>
            <w:r w:rsidRPr="00AF5D93">
              <w:rPr>
                <w:b/>
                <w:bCs/>
                <w:color w:val="003768"/>
              </w:rPr>
              <w:t>2)</w:t>
            </w:r>
          </w:p>
        </w:tc>
        <w:tc>
          <w:tcPr>
            <w:tcW w:w="1911" w:type="pct"/>
            <w:tcBorders>
              <w:bottom w:val="single" w:sz="18" w:space="0" w:color="FFC000"/>
            </w:tcBorders>
          </w:tcPr>
          <w:p w14:paraId="411EFAF9" w14:textId="77777777" w:rsidR="00527F3A" w:rsidRPr="007E412D" w:rsidRDefault="00527F3A" w:rsidP="002C3C05">
            <w:pPr>
              <w:pStyle w:val="Body"/>
            </w:pPr>
          </w:p>
        </w:tc>
        <w:tc>
          <w:tcPr>
            <w:tcW w:w="1912" w:type="pct"/>
            <w:tcBorders>
              <w:bottom w:val="single" w:sz="18" w:space="0" w:color="FFC000"/>
            </w:tcBorders>
          </w:tcPr>
          <w:p w14:paraId="5C8EEC43" w14:textId="77777777" w:rsidR="00527F3A" w:rsidRPr="007E412D" w:rsidRDefault="00527F3A" w:rsidP="002C3C05">
            <w:pPr>
              <w:pStyle w:val="Body"/>
            </w:pPr>
          </w:p>
        </w:tc>
      </w:tr>
    </w:tbl>
    <w:p w14:paraId="1C343BF2" w14:textId="77777777" w:rsidR="00527F3A" w:rsidRDefault="00527F3A" w:rsidP="00527F3A">
      <w:pPr>
        <w:pStyle w:val="Heading3"/>
      </w:pPr>
      <w:r>
        <w:t xml:space="preserve">Table </w:t>
      </w:r>
      <w:r w:rsidRPr="001F67AB">
        <w:t xml:space="preserve">2: </w:t>
      </w:r>
      <w:r w:rsidRPr="009C5E66">
        <w:t>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99"/>
        <w:gridCol w:w="7157"/>
      </w:tblGrid>
      <w:tr w:rsidR="00527F3A" w:rsidRPr="00D20385" w14:paraId="3AA906FD" w14:textId="77777777" w:rsidTr="002C3C05">
        <w:tc>
          <w:tcPr>
            <w:tcW w:w="1175" w:type="pct"/>
            <w:shd w:val="clear" w:color="auto" w:fill="FFF9DD"/>
          </w:tcPr>
          <w:p w14:paraId="1AEC7DC5" w14:textId="77777777" w:rsidR="00527F3A" w:rsidRPr="00F93A69" w:rsidRDefault="00527F3A" w:rsidP="002C3C05">
            <w:pPr>
              <w:pStyle w:val="Body"/>
              <w:rPr>
                <w:b/>
                <w:bCs/>
                <w:color w:val="003768"/>
              </w:rPr>
            </w:pPr>
            <w:r w:rsidRPr="003779F9">
              <w:rPr>
                <w:b/>
                <w:bCs/>
                <w:color w:val="003768"/>
              </w:rPr>
              <w:t>Addendum EU SCCs</w:t>
            </w:r>
          </w:p>
        </w:tc>
        <w:tc>
          <w:tcPr>
            <w:tcW w:w="3825" w:type="pct"/>
          </w:tcPr>
          <w:p w14:paraId="7DA1B3A6" w14:textId="77777777" w:rsidR="00527F3A" w:rsidRDefault="00527F3A" w:rsidP="002C3C05">
            <w:pPr>
              <w:pStyle w:val="Bodyindent"/>
              <w:rPr>
                <w:rFonts w:eastAsia="Verdana"/>
              </w:rPr>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537A85">
              <w:rPr>
                <w:rFonts w:eastAsia="Verdana"/>
              </w:rPr>
            </w:r>
            <w:r w:rsidR="00537A85">
              <w:rPr>
                <w:rFonts w:eastAsia="Verdana"/>
              </w:rPr>
              <w:fldChar w:fldCharType="separate"/>
            </w:r>
            <w:r w:rsidRPr="00E35ED1">
              <w:rPr>
                <w:rFonts w:eastAsia="Verdana"/>
              </w:rPr>
              <w:fldChar w:fldCharType="end"/>
            </w:r>
            <w:r>
              <w:rPr>
                <w:rFonts w:eastAsia="Verdana"/>
              </w:rPr>
              <w:t xml:space="preserve"> </w:t>
            </w:r>
            <w:r w:rsidRPr="00EB64F5">
              <w:rPr>
                <w:rFonts w:eastAsia="Verdana"/>
              </w:rPr>
              <w:t xml:space="preserve">The version of the Approved </w:t>
            </w:r>
            <w:r>
              <w:rPr>
                <w:rFonts w:eastAsia="Verdana"/>
              </w:rPr>
              <w:t xml:space="preserve">EU SCCs </w:t>
            </w:r>
            <w:r w:rsidRPr="00EB64F5">
              <w:rPr>
                <w:rFonts w:eastAsia="Verdana"/>
              </w:rPr>
              <w:t>which this Addendum is appended to</w:t>
            </w:r>
            <w:r>
              <w:rPr>
                <w:rFonts w:eastAsia="Verdana"/>
              </w:rPr>
              <w:t xml:space="preserve">, detailed below, </w:t>
            </w:r>
            <w:r w:rsidRPr="00EB64F5">
              <w:rPr>
                <w:rFonts w:eastAsia="Verdana"/>
              </w:rPr>
              <w:t>including the Appendix Information</w:t>
            </w:r>
            <w:r>
              <w:rPr>
                <w:rFonts w:eastAsia="Verdana"/>
              </w:rPr>
              <w:t>:</w:t>
            </w:r>
          </w:p>
          <w:p w14:paraId="3F75D347" w14:textId="77777777" w:rsidR="00527F3A" w:rsidRPr="00E35ED1" w:rsidRDefault="00527F3A" w:rsidP="002C3C05">
            <w:pPr>
              <w:pStyle w:val="Body"/>
            </w:pPr>
            <w:r w:rsidRPr="00E35ED1">
              <w:t>Date:</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6371AE5" w14:textId="77777777" w:rsidR="00527F3A" w:rsidRDefault="00527F3A" w:rsidP="002C3C05">
            <w:pPr>
              <w:pStyle w:val="Body"/>
            </w:pPr>
            <w:r w:rsidRPr="00E35ED1">
              <w:t>Reference</w:t>
            </w:r>
            <w:r>
              <w:t xml:space="preserve"> (if any)</w:t>
            </w:r>
            <w:r w:rsidRPr="00E35ED1">
              <w:t>:</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B0F7D56" w14:textId="77777777" w:rsidR="00527F3A" w:rsidRDefault="00527F3A" w:rsidP="002C3C05">
            <w:pPr>
              <w:pStyle w:val="Body"/>
            </w:pPr>
            <w:proofErr w:type="gramStart"/>
            <w:r>
              <w:t>Other</w:t>
            </w:r>
            <w:proofErr w:type="gramEnd"/>
            <w:r>
              <w:t xml:space="preserve"> identifier (if any):</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C482449" w14:textId="77777777" w:rsidR="00527F3A" w:rsidRPr="00E35ED1" w:rsidRDefault="00527F3A" w:rsidP="002C3C05">
            <w:pPr>
              <w:pStyle w:val="Body"/>
            </w:pPr>
            <w:r>
              <w:t>Or</w:t>
            </w:r>
          </w:p>
          <w:p w14:paraId="46A4C868" w14:textId="77777777" w:rsidR="00527F3A" w:rsidRPr="00D20385" w:rsidRDefault="00527F3A" w:rsidP="002C3C05">
            <w:pPr>
              <w:pStyle w:val="Bodyindent"/>
            </w:pPr>
            <w:r>
              <w:rPr>
                <w:rFonts w:eastAsia="Verdana"/>
              </w:rPr>
              <w:fldChar w:fldCharType="begin">
                <w:ffData>
                  <w:name w:val=""/>
                  <w:enabled/>
                  <w:calcOnExit w:val="0"/>
                  <w:checkBox>
                    <w:size w:val="16"/>
                    <w:default w:val="1"/>
                  </w:checkBox>
                </w:ffData>
              </w:fldChar>
            </w:r>
            <w:r>
              <w:rPr>
                <w:rFonts w:eastAsia="Verdana"/>
              </w:rPr>
              <w:instrText xml:space="preserve"> FORMCHECKBOX </w:instrText>
            </w:r>
            <w:r w:rsidR="00537A85">
              <w:rPr>
                <w:rFonts w:eastAsia="Verdana"/>
              </w:rPr>
            </w:r>
            <w:r w:rsidR="00537A85">
              <w:rPr>
                <w:rFonts w:eastAsia="Verdana"/>
              </w:rPr>
              <w:fldChar w:fldCharType="separate"/>
            </w:r>
            <w:r>
              <w:rPr>
                <w:rFonts w:eastAsia="Verdana"/>
              </w:rPr>
              <w:fldChar w:fldCharType="end"/>
            </w:r>
            <w:r>
              <w:rPr>
                <w:rFonts w:eastAsia="Verdana"/>
              </w:rPr>
              <w:t xml:space="preserve"> the Approved EU SCCs, including the Appendix Information and with only the </w:t>
            </w:r>
            <w:r w:rsidRPr="00427966">
              <w:t xml:space="preserve">following </w:t>
            </w:r>
            <w:r w:rsidRPr="00AD536D">
              <w:t>modules</w:t>
            </w:r>
            <w:r w:rsidRPr="00427966">
              <w:t>, clauses or optional provisions of the Approved EU SCCs</w:t>
            </w:r>
            <w:r>
              <w:t xml:space="preserve"> brought into effect for the purposes of this Addendum:</w:t>
            </w:r>
            <w:r w:rsidRPr="00427966">
              <w:t xml:space="preserve"> </w:t>
            </w:r>
          </w:p>
        </w:tc>
      </w:tr>
    </w:tbl>
    <w:tbl>
      <w:tblPr>
        <w:tblStyle w:val="TableGrid"/>
        <w:tblW w:w="9024"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1918"/>
      </w:tblGrid>
      <w:tr w:rsidR="00527F3A" w14:paraId="39728199" w14:textId="77777777" w:rsidTr="002C3C05">
        <w:tc>
          <w:tcPr>
            <w:tcW w:w="988" w:type="dxa"/>
            <w:tcBorders>
              <w:top w:val="single" w:sz="4" w:space="0" w:color="FFC000"/>
            </w:tcBorders>
          </w:tcPr>
          <w:p w14:paraId="017DDD26" w14:textId="77777777" w:rsidR="00527F3A" w:rsidRPr="00C02C8A" w:rsidRDefault="00527F3A" w:rsidP="002C3C05">
            <w:pPr>
              <w:pStyle w:val="Body"/>
            </w:pPr>
            <w:r w:rsidRPr="00C02C8A">
              <w:t>Module</w:t>
            </w:r>
          </w:p>
        </w:tc>
        <w:tc>
          <w:tcPr>
            <w:tcW w:w="1223" w:type="dxa"/>
            <w:tcBorders>
              <w:top w:val="single" w:sz="4" w:space="0" w:color="FFC000"/>
            </w:tcBorders>
          </w:tcPr>
          <w:p w14:paraId="5499A7FC" w14:textId="77777777" w:rsidR="00527F3A" w:rsidRPr="00C02C8A" w:rsidRDefault="00527F3A" w:rsidP="002C3C05">
            <w:pPr>
              <w:pStyle w:val="Body"/>
            </w:pPr>
            <w:r w:rsidRPr="00C02C8A">
              <w:t>Module in operation</w:t>
            </w:r>
          </w:p>
        </w:tc>
        <w:tc>
          <w:tcPr>
            <w:tcW w:w="1224" w:type="dxa"/>
            <w:tcBorders>
              <w:top w:val="single" w:sz="4" w:space="0" w:color="FFC000"/>
            </w:tcBorders>
          </w:tcPr>
          <w:p w14:paraId="25CE5CB2" w14:textId="77777777" w:rsidR="00527F3A" w:rsidRPr="00C02C8A" w:rsidRDefault="00527F3A" w:rsidP="002C3C05">
            <w:pPr>
              <w:pStyle w:val="Body"/>
            </w:pPr>
            <w:r w:rsidRPr="00C02C8A">
              <w:t>Clause 7 (Docking Clause)</w:t>
            </w:r>
          </w:p>
        </w:tc>
        <w:tc>
          <w:tcPr>
            <w:tcW w:w="1223" w:type="dxa"/>
            <w:tcBorders>
              <w:top w:val="single" w:sz="4" w:space="0" w:color="FFC000"/>
            </w:tcBorders>
          </w:tcPr>
          <w:p w14:paraId="78C6D80D" w14:textId="77777777" w:rsidR="00527F3A" w:rsidRPr="00C02C8A" w:rsidRDefault="00527F3A" w:rsidP="002C3C05">
            <w:pPr>
              <w:pStyle w:val="Body"/>
            </w:pPr>
            <w:r w:rsidRPr="00C02C8A">
              <w:t xml:space="preserve">Clause 11 </w:t>
            </w:r>
            <w:r>
              <w:br/>
              <w:t>(Option)</w:t>
            </w:r>
          </w:p>
        </w:tc>
        <w:tc>
          <w:tcPr>
            <w:tcW w:w="1224" w:type="dxa"/>
            <w:tcBorders>
              <w:top w:val="single" w:sz="4" w:space="0" w:color="FFC000"/>
            </w:tcBorders>
          </w:tcPr>
          <w:p w14:paraId="7F5B5E2F" w14:textId="77777777" w:rsidR="00527F3A" w:rsidRPr="00C02C8A" w:rsidRDefault="00527F3A" w:rsidP="002C3C05">
            <w:pPr>
              <w:pStyle w:val="Body"/>
            </w:pPr>
            <w:r w:rsidRPr="00C02C8A">
              <w:t>Clause 9a (Prior Authorisation or General Authorisation)</w:t>
            </w:r>
          </w:p>
        </w:tc>
        <w:tc>
          <w:tcPr>
            <w:tcW w:w="1224" w:type="dxa"/>
            <w:tcBorders>
              <w:top w:val="single" w:sz="4" w:space="0" w:color="FFC000"/>
            </w:tcBorders>
          </w:tcPr>
          <w:p w14:paraId="6F392DD4" w14:textId="77777777" w:rsidR="00527F3A" w:rsidRPr="00C02C8A" w:rsidRDefault="00527F3A" w:rsidP="002C3C05">
            <w:pPr>
              <w:pStyle w:val="Body"/>
            </w:pPr>
            <w:r w:rsidRPr="00C02C8A">
              <w:t>Clause 9a (Time period)</w:t>
            </w:r>
          </w:p>
        </w:tc>
        <w:tc>
          <w:tcPr>
            <w:tcW w:w="1918" w:type="dxa"/>
            <w:tcBorders>
              <w:top w:val="single" w:sz="4" w:space="0" w:color="FFC000"/>
            </w:tcBorders>
          </w:tcPr>
          <w:p w14:paraId="7FA0087C" w14:textId="77777777" w:rsidR="00527F3A" w:rsidRPr="00C02C8A" w:rsidRDefault="00527F3A" w:rsidP="002C3C05">
            <w:pPr>
              <w:pStyle w:val="Body"/>
            </w:pPr>
            <w:r w:rsidRPr="00C02C8A">
              <w:t>Is personal data received from the Importer combined with personal data collected by the Exporter?</w:t>
            </w:r>
          </w:p>
        </w:tc>
      </w:tr>
      <w:tr w:rsidR="00527F3A" w14:paraId="441546DF" w14:textId="77777777" w:rsidTr="002C3C05">
        <w:tc>
          <w:tcPr>
            <w:tcW w:w="988" w:type="dxa"/>
          </w:tcPr>
          <w:p w14:paraId="78E28A7E" w14:textId="77777777" w:rsidR="00527F3A" w:rsidRDefault="00527F3A" w:rsidP="002C3C05">
            <w:pPr>
              <w:pStyle w:val="Body"/>
              <w:jc w:val="center"/>
            </w:pPr>
            <w:r>
              <w:t>1</w:t>
            </w:r>
          </w:p>
        </w:tc>
        <w:tc>
          <w:tcPr>
            <w:tcW w:w="1223" w:type="dxa"/>
          </w:tcPr>
          <w:p w14:paraId="25E801A8" w14:textId="77777777" w:rsidR="00527F3A" w:rsidRPr="00C02C8A" w:rsidRDefault="00527F3A" w:rsidP="002C3C05">
            <w:pPr>
              <w:pStyle w:val="Body"/>
            </w:pPr>
          </w:p>
        </w:tc>
        <w:tc>
          <w:tcPr>
            <w:tcW w:w="1224" w:type="dxa"/>
          </w:tcPr>
          <w:p w14:paraId="50944380" w14:textId="77777777" w:rsidR="00527F3A" w:rsidRPr="00C02C8A" w:rsidRDefault="00527F3A" w:rsidP="002C3C05">
            <w:pPr>
              <w:pStyle w:val="Body"/>
            </w:pPr>
          </w:p>
        </w:tc>
        <w:tc>
          <w:tcPr>
            <w:tcW w:w="1223" w:type="dxa"/>
          </w:tcPr>
          <w:p w14:paraId="62EE6B8D" w14:textId="77777777" w:rsidR="00527F3A" w:rsidRPr="00C02C8A" w:rsidRDefault="00527F3A" w:rsidP="002C3C05">
            <w:pPr>
              <w:pStyle w:val="Body"/>
            </w:pPr>
          </w:p>
        </w:tc>
        <w:tc>
          <w:tcPr>
            <w:tcW w:w="1224" w:type="dxa"/>
            <w:shd w:val="clear" w:color="auto" w:fill="FFF0A9"/>
          </w:tcPr>
          <w:p w14:paraId="6FA0E932" w14:textId="77777777" w:rsidR="00527F3A" w:rsidRPr="00C02C8A" w:rsidRDefault="00527F3A" w:rsidP="002C3C05">
            <w:pPr>
              <w:pStyle w:val="Body"/>
            </w:pPr>
          </w:p>
        </w:tc>
        <w:tc>
          <w:tcPr>
            <w:tcW w:w="1224" w:type="dxa"/>
            <w:shd w:val="clear" w:color="auto" w:fill="FFF0A9"/>
          </w:tcPr>
          <w:p w14:paraId="0B1F0F5D" w14:textId="77777777" w:rsidR="00527F3A" w:rsidRPr="00C02C8A" w:rsidRDefault="00527F3A" w:rsidP="002C3C05">
            <w:pPr>
              <w:pStyle w:val="Body"/>
            </w:pPr>
          </w:p>
        </w:tc>
        <w:tc>
          <w:tcPr>
            <w:tcW w:w="1918" w:type="dxa"/>
            <w:shd w:val="clear" w:color="auto" w:fill="FFF0A9"/>
          </w:tcPr>
          <w:p w14:paraId="419D215A" w14:textId="77777777" w:rsidR="00527F3A" w:rsidRPr="00C02C8A" w:rsidRDefault="00527F3A" w:rsidP="002C3C05">
            <w:pPr>
              <w:pStyle w:val="Body"/>
            </w:pPr>
          </w:p>
        </w:tc>
      </w:tr>
      <w:tr w:rsidR="00527F3A" w14:paraId="3F1C3C33" w14:textId="77777777" w:rsidTr="002C3C05">
        <w:tc>
          <w:tcPr>
            <w:tcW w:w="988" w:type="dxa"/>
          </w:tcPr>
          <w:p w14:paraId="7F4CB64B" w14:textId="77777777" w:rsidR="00527F3A" w:rsidRDefault="00527F3A" w:rsidP="002C3C05">
            <w:pPr>
              <w:pStyle w:val="Body"/>
              <w:jc w:val="center"/>
            </w:pPr>
            <w:r>
              <w:t>2</w:t>
            </w:r>
          </w:p>
        </w:tc>
        <w:tc>
          <w:tcPr>
            <w:tcW w:w="1223" w:type="dxa"/>
          </w:tcPr>
          <w:p w14:paraId="3CFA60EB" w14:textId="77777777" w:rsidR="00527F3A" w:rsidRPr="00C02C8A" w:rsidRDefault="00527F3A" w:rsidP="002C3C05">
            <w:pPr>
              <w:pStyle w:val="Body"/>
            </w:pPr>
            <w:r>
              <w:t>X</w:t>
            </w:r>
          </w:p>
        </w:tc>
        <w:tc>
          <w:tcPr>
            <w:tcW w:w="1224" w:type="dxa"/>
          </w:tcPr>
          <w:p w14:paraId="6C64F302" w14:textId="77777777" w:rsidR="00527F3A" w:rsidRPr="00C02C8A" w:rsidRDefault="00527F3A" w:rsidP="002C3C05">
            <w:pPr>
              <w:pStyle w:val="Body"/>
            </w:pPr>
            <w:r>
              <w:t>X</w:t>
            </w:r>
          </w:p>
        </w:tc>
        <w:tc>
          <w:tcPr>
            <w:tcW w:w="1223" w:type="dxa"/>
          </w:tcPr>
          <w:p w14:paraId="77CB732F" w14:textId="77777777" w:rsidR="00527F3A" w:rsidRPr="00C02C8A" w:rsidRDefault="00527F3A" w:rsidP="002C3C05">
            <w:pPr>
              <w:pStyle w:val="Body"/>
            </w:pPr>
            <w:r>
              <w:t>X</w:t>
            </w:r>
          </w:p>
        </w:tc>
        <w:tc>
          <w:tcPr>
            <w:tcW w:w="1224" w:type="dxa"/>
          </w:tcPr>
          <w:p w14:paraId="530EBBCC" w14:textId="77777777" w:rsidR="00527F3A" w:rsidRPr="00C02C8A" w:rsidRDefault="00527F3A" w:rsidP="002C3C05">
            <w:pPr>
              <w:pStyle w:val="Body"/>
            </w:pPr>
            <w:r>
              <w:t>General</w:t>
            </w:r>
          </w:p>
        </w:tc>
        <w:tc>
          <w:tcPr>
            <w:tcW w:w="1224" w:type="dxa"/>
          </w:tcPr>
          <w:p w14:paraId="77476656" w14:textId="35C4FDD1" w:rsidR="00527F3A" w:rsidRPr="00C02C8A" w:rsidRDefault="00527F3A" w:rsidP="002C3C05">
            <w:pPr>
              <w:pStyle w:val="Body"/>
            </w:pPr>
            <w:r>
              <w:t>15</w:t>
            </w:r>
            <w:r w:rsidR="002E1B12">
              <w:t>f</w:t>
            </w:r>
            <w:r>
              <w:t xml:space="preserve"> days</w:t>
            </w:r>
          </w:p>
        </w:tc>
        <w:tc>
          <w:tcPr>
            <w:tcW w:w="1918" w:type="dxa"/>
            <w:shd w:val="clear" w:color="auto" w:fill="FFF0A9"/>
          </w:tcPr>
          <w:p w14:paraId="092DDA4C" w14:textId="77777777" w:rsidR="00527F3A" w:rsidRPr="00C02C8A" w:rsidRDefault="00527F3A" w:rsidP="002C3C05">
            <w:pPr>
              <w:pStyle w:val="Body"/>
            </w:pPr>
          </w:p>
        </w:tc>
      </w:tr>
      <w:tr w:rsidR="00527F3A" w14:paraId="30BAE609" w14:textId="77777777" w:rsidTr="002C3C05">
        <w:tc>
          <w:tcPr>
            <w:tcW w:w="988" w:type="dxa"/>
          </w:tcPr>
          <w:p w14:paraId="393E38E9" w14:textId="77777777" w:rsidR="00527F3A" w:rsidRDefault="00527F3A" w:rsidP="002C3C05">
            <w:pPr>
              <w:pStyle w:val="Body"/>
              <w:jc w:val="center"/>
            </w:pPr>
            <w:r>
              <w:t>3</w:t>
            </w:r>
          </w:p>
        </w:tc>
        <w:tc>
          <w:tcPr>
            <w:tcW w:w="1223" w:type="dxa"/>
          </w:tcPr>
          <w:p w14:paraId="231A07F5" w14:textId="77777777" w:rsidR="00527F3A" w:rsidRPr="00C02C8A" w:rsidRDefault="00527F3A" w:rsidP="002C3C05">
            <w:pPr>
              <w:pStyle w:val="Body"/>
            </w:pPr>
          </w:p>
        </w:tc>
        <w:tc>
          <w:tcPr>
            <w:tcW w:w="1224" w:type="dxa"/>
          </w:tcPr>
          <w:p w14:paraId="38AFF628" w14:textId="77777777" w:rsidR="00527F3A" w:rsidRPr="00C02C8A" w:rsidRDefault="00527F3A" w:rsidP="002C3C05">
            <w:pPr>
              <w:pStyle w:val="Body"/>
            </w:pPr>
          </w:p>
        </w:tc>
        <w:tc>
          <w:tcPr>
            <w:tcW w:w="1223" w:type="dxa"/>
          </w:tcPr>
          <w:p w14:paraId="51832031" w14:textId="77777777" w:rsidR="00527F3A" w:rsidRPr="00C02C8A" w:rsidRDefault="00527F3A" w:rsidP="002C3C05">
            <w:pPr>
              <w:pStyle w:val="Body"/>
            </w:pPr>
          </w:p>
        </w:tc>
        <w:tc>
          <w:tcPr>
            <w:tcW w:w="1224" w:type="dxa"/>
          </w:tcPr>
          <w:p w14:paraId="2E76D277" w14:textId="77777777" w:rsidR="00527F3A" w:rsidRPr="00C02C8A" w:rsidRDefault="00527F3A" w:rsidP="002C3C05">
            <w:pPr>
              <w:pStyle w:val="Body"/>
            </w:pPr>
          </w:p>
        </w:tc>
        <w:tc>
          <w:tcPr>
            <w:tcW w:w="1224" w:type="dxa"/>
          </w:tcPr>
          <w:p w14:paraId="1F74F0D4" w14:textId="77777777" w:rsidR="00527F3A" w:rsidRPr="00C02C8A" w:rsidRDefault="00527F3A" w:rsidP="002C3C05">
            <w:pPr>
              <w:pStyle w:val="Body"/>
            </w:pPr>
          </w:p>
        </w:tc>
        <w:tc>
          <w:tcPr>
            <w:tcW w:w="1918" w:type="dxa"/>
            <w:shd w:val="clear" w:color="auto" w:fill="FFF0A9"/>
          </w:tcPr>
          <w:p w14:paraId="6447C76F" w14:textId="77777777" w:rsidR="00527F3A" w:rsidRPr="00C02C8A" w:rsidRDefault="00527F3A" w:rsidP="002C3C05">
            <w:pPr>
              <w:pStyle w:val="Body"/>
            </w:pPr>
          </w:p>
        </w:tc>
      </w:tr>
      <w:tr w:rsidR="00527F3A" w14:paraId="34A94A8B" w14:textId="77777777" w:rsidTr="002C3C05">
        <w:tc>
          <w:tcPr>
            <w:tcW w:w="988" w:type="dxa"/>
            <w:tcBorders>
              <w:bottom w:val="single" w:sz="18" w:space="0" w:color="FFC000"/>
            </w:tcBorders>
          </w:tcPr>
          <w:p w14:paraId="0D17B2A7" w14:textId="77777777" w:rsidR="00527F3A" w:rsidRDefault="00527F3A" w:rsidP="002C3C05">
            <w:pPr>
              <w:pStyle w:val="Body"/>
              <w:jc w:val="center"/>
            </w:pPr>
            <w:r>
              <w:t>4</w:t>
            </w:r>
          </w:p>
        </w:tc>
        <w:tc>
          <w:tcPr>
            <w:tcW w:w="1223" w:type="dxa"/>
            <w:tcBorders>
              <w:bottom w:val="single" w:sz="18" w:space="0" w:color="FFC000"/>
            </w:tcBorders>
          </w:tcPr>
          <w:p w14:paraId="612D59CD" w14:textId="77777777" w:rsidR="00527F3A" w:rsidRDefault="00527F3A" w:rsidP="002C3C05">
            <w:pPr>
              <w:pStyle w:val="Body"/>
            </w:pPr>
          </w:p>
        </w:tc>
        <w:tc>
          <w:tcPr>
            <w:tcW w:w="1224" w:type="dxa"/>
            <w:tcBorders>
              <w:bottom w:val="single" w:sz="18" w:space="0" w:color="FFC000"/>
            </w:tcBorders>
          </w:tcPr>
          <w:p w14:paraId="23DB02F6" w14:textId="77777777" w:rsidR="00527F3A" w:rsidRDefault="00527F3A" w:rsidP="002C3C05">
            <w:pPr>
              <w:pStyle w:val="Body"/>
            </w:pPr>
          </w:p>
        </w:tc>
        <w:tc>
          <w:tcPr>
            <w:tcW w:w="1223" w:type="dxa"/>
            <w:tcBorders>
              <w:bottom w:val="single" w:sz="18" w:space="0" w:color="FFC000"/>
            </w:tcBorders>
          </w:tcPr>
          <w:p w14:paraId="240D6A04" w14:textId="77777777" w:rsidR="00527F3A" w:rsidRDefault="00527F3A" w:rsidP="002C3C05">
            <w:pPr>
              <w:pStyle w:val="Body"/>
            </w:pPr>
          </w:p>
        </w:tc>
        <w:tc>
          <w:tcPr>
            <w:tcW w:w="1224" w:type="dxa"/>
            <w:tcBorders>
              <w:bottom w:val="single" w:sz="18" w:space="0" w:color="FFC000"/>
            </w:tcBorders>
            <w:shd w:val="clear" w:color="auto" w:fill="FFF0A9"/>
          </w:tcPr>
          <w:p w14:paraId="31A8DC58" w14:textId="77777777" w:rsidR="00527F3A" w:rsidRDefault="00527F3A" w:rsidP="002C3C05">
            <w:pPr>
              <w:pStyle w:val="Body"/>
            </w:pPr>
          </w:p>
        </w:tc>
        <w:tc>
          <w:tcPr>
            <w:tcW w:w="1224" w:type="dxa"/>
            <w:tcBorders>
              <w:bottom w:val="single" w:sz="18" w:space="0" w:color="FFC000"/>
            </w:tcBorders>
            <w:shd w:val="clear" w:color="auto" w:fill="FFF0A9"/>
          </w:tcPr>
          <w:p w14:paraId="3619DAFC" w14:textId="77777777" w:rsidR="00527F3A" w:rsidRDefault="00527F3A" w:rsidP="002C3C05">
            <w:pPr>
              <w:pStyle w:val="Body"/>
            </w:pPr>
          </w:p>
        </w:tc>
        <w:tc>
          <w:tcPr>
            <w:tcW w:w="1918" w:type="dxa"/>
            <w:tcBorders>
              <w:bottom w:val="single" w:sz="18" w:space="0" w:color="FFC000"/>
            </w:tcBorders>
          </w:tcPr>
          <w:p w14:paraId="18F2C62C" w14:textId="77777777" w:rsidR="00527F3A" w:rsidRDefault="00527F3A" w:rsidP="002C3C05">
            <w:pPr>
              <w:pStyle w:val="Body"/>
            </w:pPr>
          </w:p>
        </w:tc>
      </w:tr>
    </w:tbl>
    <w:p w14:paraId="5D9D980D" w14:textId="77777777" w:rsidR="00527F3A" w:rsidRDefault="00527F3A" w:rsidP="00527F3A">
      <w:pPr>
        <w:pStyle w:val="Heading3"/>
      </w:pPr>
      <w:r>
        <w:t>Table 3</w:t>
      </w:r>
      <w:r w:rsidRPr="001F67AB">
        <w:t xml:space="preserve">: </w:t>
      </w:r>
      <w:r w:rsidRPr="001B5132">
        <w:t>Appendix Information</w:t>
      </w:r>
    </w:p>
    <w:p w14:paraId="01DF1799" w14:textId="77777777" w:rsidR="00527F3A" w:rsidRDefault="00527F3A" w:rsidP="00527F3A">
      <w:r w:rsidRPr="00C021F5">
        <w:lastRenderedPageBreak/>
        <w:t>“</w:t>
      </w:r>
      <w:r w:rsidRPr="00113FF6">
        <w:rPr>
          <w:b/>
          <w:bCs/>
        </w:rPr>
        <w:t>Appendix Information</w:t>
      </w:r>
      <w:r w:rsidRPr="00C021F5">
        <w:t xml:space="preserve">” means the information which must be provided for the </w:t>
      </w:r>
      <w:r w:rsidRPr="00AD536D">
        <w:t>selected modules</w:t>
      </w:r>
      <w:r w:rsidRPr="00C021F5">
        <w:t xml:space="preserve">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527F3A" w14:paraId="159A822C" w14:textId="77777777" w:rsidTr="002C3C05">
        <w:tc>
          <w:tcPr>
            <w:tcW w:w="9017" w:type="dxa"/>
          </w:tcPr>
          <w:p w14:paraId="6698F922" w14:textId="77777777" w:rsidR="00527F3A" w:rsidRPr="00E6761E" w:rsidRDefault="00527F3A" w:rsidP="002C3C05">
            <w:pPr>
              <w:pStyle w:val="Body"/>
            </w:pPr>
            <w:r w:rsidRPr="00E6761E">
              <w:t xml:space="preserve">Annex 1A: </w:t>
            </w:r>
            <w:r>
              <w:t xml:space="preserve">List of </w:t>
            </w:r>
            <w:r w:rsidRPr="00E6761E">
              <w:t>Parties</w:t>
            </w:r>
            <w:r>
              <w:t>: See Annex IA of the EU SCCs.</w:t>
            </w:r>
          </w:p>
        </w:tc>
      </w:tr>
      <w:tr w:rsidR="00527F3A" w14:paraId="53452048" w14:textId="77777777" w:rsidTr="002C3C05">
        <w:tc>
          <w:tcPr>
            <w:tcW w:w="9017" w:type="dxa"/>
          </w:tcPr>
          <w:p w14:paraId="63807CEB" w14:textId="77777777" w:rsidR="00527F3A" w:rsidRPr="00E6761E" w:rsidRDefault="00527F3A" w:rsidP="002C3C05">
            <w:pPr>
              <w:pStyle w:val="Body"/>
            </w:pPr>
            <w:r w:rsidRPr="00E6761E">
              <w:t>Annex 1B: Description of Transfer</w:t>
            </w:r>
            <w:r>
              <w:t>: See Annex IB of the EU SCCs.</w:t>
            </w:r>
          </w:p>
        </w:tc>
      </w:tr>
      <w:tr w:rsidR="00527F3A" w14:paraId="403A4FCA" w14:textId="77777777" w:rsidTr="002C3C05">
        <w:tc>
          <w:tcPr>
            <w:tcW w:w="9017" w:type="dxa"/>
          </w:tcPr>
          <w:p w14:paraId="1DF44CFD" w14:textId="77777777" w:rsidR="00527F3A" w:rsidRPr="00E6761E" w:rsidRDefault="00527F3A" w:rsidP="002C3C05">
            <w:pPr>
              <w:pStyle w:val="Body"/>
            </w:pPr>
            <w:r w:rsidRPr="00E6761E">
              <w:t>Annex II: Technical and organisational measures including technical and organisational measures to ensure the security of the data</w:t>
            </w:r>
            <w:r>
              <w:t>: See Annex II of the EU SCCs.</w:t>
            </w:r>
          </w:p>
        </w:tc>
      </w:tr>
      <w:tr w:rsidR="00527F3A" w14:paraId="4C045FEA" w14:textId="77777777" w:rsidTr="002C3C05">
        <w:tc>
          <w:tcPr>
            <w:tcW w:w="9017" w:type="dxa"/>
            <w:tcBorders>
              <w:bottom w:val="single" w:sz="18" w:space="0" w:color="FFC000"/>
            </w:tcBorders>
          </w:tcPr>
          <w:p w14:paraId="1813D5F9" w14:textId="77777777" w:rsidR="00527F3A" w:rsidRPr="00E6761E" w:rsidRDefault="00527F3A" w:rsidP="002C3C05">
            <w:pPr>
              <w:pStyle w:val="Body"/>
            </w:pPr>
            <w:r w:rsidRPr="00E6761E">
              <w:t>Annex III: List of Sub processors (Modules 2 and 3 only)</w:t>
            </w:r>
            <w:r>
              <w:t xml:space="preserve">: General authorisation </w:t>
            </w:r>
            <w:proofErr w:type="gramStart"/>
            <w:r>
              <w:t>provided,</w:t>
            </w:r>
            <w:proofErr w:type="gramEnd"/>
            <w:r>
              <w:t xml:space="preserve"> list not required.</w:t>
            </w:r>
          </w:p>
        </w:tc>
      </w:tr>
    </w:tbl>
    <w:p w14:paraId="5EE05F29" w14:textId="77777777" w:rsidR="00527F3A" w:rsidRPr="00AD536D" w:rsidRDefault="00527F3A" w:rsidP="00527F3A">
      <w:pPr>
        <w:pStyle w:val="Heading3"/>
      </w:pPr>
      <w:r w:rsidRPr="00AD536D">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90"/>
        <w:gridCol w:w="7560"/>
      </w:tblGrid>
      <w:tr w:rsidR="00527F3A" w:rsidRPr="009426CA" w14:paraId="0AD7F42B" w14:textId="77777777" w:rsidTr="002C3C05">
        <w:tc>
          <w:tcPr>
            <w:tcW w:w="957" w:type="pct"/>
            <w:tcBorders>
              <w:bottom w:val="single" w:sz="18" w:space="0" w:color="FFC000"/>
            </w:tcBorders>
            <w:shd w:val="clear" w:color="auto" w:fill="FFF9DD"/>
          </w:tcPr>
          <w:p w14:paraId="60AF88DA" w14:textId="77777777" w:rsidR="00527F3A" w:rsidRPr="00AD536D" w:rsidRDefault="00527F3A" w:rsidP="002C3C05">
            <w:pPr>
              <w:pStyle w:val="Body"/>
              <w:rPr>
                <w:b/>
                <w:bCs/>
                <w:sz w:val="18"/>
                <w:szCs w:val="18"/>
              </w:rPr>
            </w:pPr>
            <w:r w:rsidRPr="00012EE1">
              <w:rPr>
                <w:b/>
                <w:bCs/>
                <w:color w:val="003768"/>
              </w:rPr>
              <w:t>Ending this Addendum when the Approved Addendum changes</w:t>
            </w:r>
          </w:p>
        </w:tc>
        <w:tc>
          <w:tcPr>
            <w:tcW w:w="4043" w:type="pct"/>
            <w:tcBorders>
              <w:bottom w:val="single" w:sz="18" w:space="0" w:color="FFC000"/>
            </w:tcBorders>
          </w:tcPr>
          <w:p w14:paraId="4921EEAF" w14:textId="77777777" w:rsidR="00527F3A" w:rsidRPr="00012EE1" w:rsidRDefault="00527F3A" w:rsidP="002C3C05">
            <w:pPr>
              <w:pStyle w:val="Body"/>
            </w:pPr>
            <w:r w:rsidRPr="00012EE1">
              <w:t xml:space="preserve">Which Parties may </w:t>
            </w:r>
            <w:r>
              <w:t>end</w:t>
            </w:r>
            <w:r w:rsidRPr="00012EE1">
              <w:t xml:space="preserve"> this Addendum as set out in Section </w:t>
            </w:r>
            <w:r w:rsidRPr="00012EE1">
              <w:fldChar w:fldCharType="begin"/>
            </w:r>
            <w:r w:rsidRPr="00012EE1">
              <w:instrText xml:space="preserve"> REF _Ref93329888 \r \h  \* MERGEFORMAT </w:instrText>
            </w:r>
            <w:r w:rsidRPr="00012EE1">
              <w:fldChar w:fldCharType="separate"/>
            </w:r>
            <w:r w:rsidRPr="00012EE1">
              <w:rPr>
                <w:rFonts w:hint="cs"/>
                <w:cs/>
              </w:rPr>
              <w:t>‎</w:t>
            </w:r>
            <w:r w:rsidRPr="00012EE1">
              <w:t>19</w:t>
            </w:r>
            <w:r w:rsidRPr="00012EE1">
              <w:fldChar w:fldCharType="end"/>
            </w:r>
            <w:r w:rsidRPr="00012EE1">
              <w:t>:</w:t>
            </w:r>
          </w:p>
          <w:p w14:paraId="35CE8119" w14:textId="77777777" w:rsidR="00527F3A" w:rsidRPr="00012EE1" w:rsidRDefault="00527F3A" w:rsidP="002C3C05">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537A85">
              <w:fldChar w:fldCharType="separate"/>
            </w:r>
            <w:r w:rsidRPr="00AD536D">
              <w:fldChar w:fldCharType="end"/>
            </w:r>
            <w:r w:rsidRPr="00AD536D">
              <w:t xml:space="preserve"> </w:t>
            </w:r>
            <w:r w:rsidRPr="00012EE1">
              <w:t>Importer</w:t>
            </w:r>
          </w:p>
          <w:p w14:paraId="4E3B6789" w14:textId="77777777" w:rsidR="00527F3A" w:rsidRPr="00012EE1" w:rsidRDefault="00527F3A" w:rsidP="002C3C05">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537A85">
              <w:fldChar w:fldCharType="separate"/>
            </w:r>
            <w:r w:rsidRPr="00AD536D">
              <w:fldChar w:fldCharType="end"/>
            </w:r>
            <w:r w:rsidRPr="00012EE1">
              <w:t xml:space="preserve"> Exporter</w:t>
            </w:r>
          </w:p>
          <w:p w14:paraId="57FFC93C" w14:textId="77777777" w:rsidR="00527F3A" w:rsidRPr="0024268B" w:rsidRDefault="00527F3A" w:rsidP="002C3C05">
            <w:pPr>
              <w:pStyle w:val="Body"/>
              <w:rPr>
                <w:sz w:val="18"/>
                <w:szCs w:val="18"/>
              </w:rPr>
            </w:pPr>
            <w:r>
              <w:fldChar w:fldCharType="begin">
                <w:ffData>
                  <w:name w:val=""/>
                  <w:enabled/>
                  <w:calcOnExit w:val="0"/>
                  <w:checkBox>
                    <w:size w:val="16"/>
                    <w:default w:val="1"/>
                  </w:checkBox>
                </w:ffData>
              </w:fldChar>
            </w:r>
            <w:r>
              <w:instrText xml:space="preserve"> FORMCHECKBOX </w:instrText>
            </w:r>
            <w:r w:rsidR="00537A85">
              <w:fldChar w:fldCharType="separate"/>
            </w:r>
            <w:r>
              <w:fldChar w:fldCharType="end"/>
            </w:r>
            <w:r w:rsidRPr="00012EE1">
              <w:t xml:space="preserve"> neither Party</w:t>
            </w:r>
          </w:p>
        </w:tc>
      </w:tr>
    </w:tbl>
    <w:p w14:paraId="19BEC248" w14:textId="77777777" w:rsidR="00527F3A" w:rsidRPr="00527F3A" w:rsidRDefault="00527F3A" w:rsidP="00527F3A">
      <w:pPr>
        <w:pStyle w:val="Heading2"/>
      </w:pPr>
      <w:r w:rsidRPr="00527F3A">
        <w:t>Part 2: Mandatory Clauses</w:t>
      </w:r>
    </w:p>
    <w:p w14:paraId="46300186" w14:textId="77777777" w:rsidR="00527F3A" w:rsidRPr="00527F3A" w:rsidRDefault="00527F3A" w:rsidP="00527F3A">
      <w:pPr>
        <w:pStyle w:val="Heading3"/>
      </w:pPr>
      <w:proofErr w:type="gramStart"/>
      <w:r w:rsidRPr="00527F3A">
        <w:t>Entering into</w:t>
      </w:r>
      <w:proofErr w:type="gramEnd"/>
      <w:r w:rsidRPr="00527F3A">
        <w:t xml:space="preserve"> this Addendum</w:t>
      </w:r>
    </w:p>
    <w:p w14:paraId="3AB74274"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Each Party agrees to be bound by the terms and conditions set out in this Addendum, in exchange for the other Party also agreeing to be bound by this Addendum.</w:t>
      </w:r>
    </w:p>
    <w:p w14:paraId="237D2EA4" w14:textId="77777777" w:rsidR="00527F3A" w:rsidRPr="00527F3A" w:rsidRDefault="00527F3A" w:rsidP="00527F3A">
      <w:pPr>
        <w:pStyle w:val="NormalNumbered"/>
        <w:rPr>
          <w:rFonts w:ascii="Times New Roman" w:hAnsi="Times New Roman" w:cs="Times New Roman"/>
        </w:rPr>
      </w:pPr>
      <w:bookmarkStart w:id="29" w:name="_Ref90904580"/>
      <w:r w:rsidRPr="00527F3A">
        <w:rPr>
          <w:rFonts w:ascii="Times New Roman" w:hAnsi="Times New Roman" w:cs="Times New Roman"/>
        </w:rPr>
        <w:t xml:space="preserve">Although Annex 1A and Clause 7 of the Approved EU SCCs require signature by the Parties, for the purpose of making Restricted Transfers, the Parties may </w:t>
      </w:r>
      <w:proofErr w:type="gramStart"/>
      <w:r w:rsidRPr="00527F3A">
        <w:rPr>
          <w:rFonts w:ascii="Times New Roman" w:hAnsi="Times New Roman" w:cs="Times New Roman"/>
        </w:rPr>
        <w:t>enter into</w:t>
      </w:r>
      <w:proofErr w:type="gramEnd"/>
      <w:r w:rsidRPr="00527F3A">
        <w:rPr>
          <w:rFonts w:ascii="Times New Roman" w:hAnsi="Times New Roman" w:cs="Times New Roman"/>
        </w:rPr>
        <w:t xml:space="preserve"> this Addendum in any way that makes them legally binding on the Parties and allows data subjects to enforce their rights as set out in this Addendum. </w:t>
      </w:r>
      <w:proofErr w:type="gramStart"/>
      <w:r w:rsidRPr="00527F3A">
        <w:rPr>
          <w:rFonts w:ascii="Times New Roman" w:hAnsi="Times New Roman" w:cs="Times New Roman"/>
        </w:rPr>
        <w:t>Entering into</w:t>
      </w:r>
      <w:proofErr w:type="gramEnd"/>
      <w:r w:rsidRPr="00527F3A">
        <w:rPr>
          <w:rFonts w:ascii="Times New Roman" w:hAnsi="Times New Roman" w:cs="Times New Roman"/>
        </w:rPr>
        <w:t xml:space="preserve"> this Addendum will have the same effect as signing the Approved EU SCCs and any part of the Approved EU SCCs.</w:t>
      </w:r>
      <w:bookmarkEnd w:id="29"/>
    </w:p>
    <w:p w14:paraId="1472FC88" w14:textId="77777777" w:rsidR="00527F3A" w:rsidRPr="00527F3A" w:rsidRDefault="00527F3A" w:rsidP="00527F3A">
      <w:pPr>
        <w:pStyle w:val="Heading3"/>
      </w:pPr>
      <w:bookmarkStart w:id="30" w:name="_Hlk92885712"/>
      <w:r w:rsidRPr="00527F3A">
        <w:t xml:space="preserve">Interpretation of this Addendum </w:t>
      </w:r>
    </w:p>
    <w:p w14:paraId="1A4EB4AA"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Where this Addendum uses terms that are defined in the Approved EU SCCs those terms shall have the same meaning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644"/>
        <w:gridCol w:w="6712"/>
      </w:tblGrid>
      <w:tr w:rsidR="00527F3A" w:rsidRPr="00E6761E" w14:paraId="605FA58B" w14:textId="77777777" w:rsidTr="002C3C05">
        <w:tc>
          <w:tcPr>
            <w:tcW w:w="1413" w:type="pct"/>
            <w:tcBorders>
              <w:top w:val="single" w:sz="4" w:space="0" w:color="FFC000"/>
              <w:right w:val="single" w:sz="4" w:space="0" w:color="FFC000"/>
            </w:tcBorders>
            <w:shd w:val="clear" w:color="auto" w:fill="FFF9DD"/>
          </w:tcPr>
          <w:p w14:paraId="5875ADA1" w14:textId="77777777" w:rsidR="00527F3A" w:rsidRPr="002B2EB7" w:rsidRDefault="00527F3A" w:rsidP="002C3C05">
            <w:pPr>
              <w:pStyle w:val="Body"/>
              <w:rPr>
                <w:color w:val="003768"/>
              </w:rPr>
            </w:pPr>
            <w:r w:rsidRPr="002B2EB7">
              <w:rPr>
                <w:color w:val="003768"/>
              </w:rPr>
              <w:t xml:space="preserve">Addendum </w:t>
            </w:r>
          </w:p>
        </w:tc>
        <w:tc>
          <w:tcPr>
            <w:tcW w:w="3587" w:type="pct"/>
            <w:tcBorders>
              <w:top w:val="single" w:sz="4" w:space="0" w:color="FFC000"/>
              <w:left w:val="single" w:sz="4" w:space="0" w:color="FFC000"/>
            </w:tcBorders>
          </w:tcPr>
          <w:p w14:paraId="3592EB75" w14:textId="77777777" w:rsidR="00527F3A" w:rsidRPr="00E6761E" w:rsidRDefault="00527F3A" w:rsidP="002C3C05">
            <w:pPr>
              <w:pStyle w:val="Body"/>
            </w:pPr>
            <w:r w:rsidRPr="00E6761E">
              <w:t>This International Data Transfer Addendum which is made up of this Addendum incorporating the Addendum EU SCCs.</w:t>
            </w:r>
          </w:p>
        </w:tc>
      </w:tr>
      <w:tr w:rsidR="00527F3A" w:rsidRPr="00E6761E" w14:paraId="3B088718" w14:textId="77777777" w:rsidTr="002C3C05">
        <w:tc>
          <w:tcPr>
            <w:tcW w:w="1413" w:type="pct"/>
            <w:tcBorders>
              <w:right w:val="single" w:sz="4" w:space="0" w:color="FFC000"/>
            </w:tcBorders>
            <w:shd w:val="clear" w:color="auto" w:fill="FFF9DD"/>
          </w:tcPr>
          <w:p w14:paraId="505EAE9F" w14:textId="77777777" w:rsidR="00527F3A" w:rsidRPr="002B2EB7" w:rsidRDefault="00527F3A" w:rsidP="002C3C05">
            <w:pPr>
              <w:pStyle w:val="Body"/>
              <w:rPr>
                <w:color w:val="003768"/>
              </w:rPr>
            </w:pPr>
            <w:r w:rsidRPr="002B2EB7">
              <w:rPr>
                <w:color w:val="003768"/>
              </w:rPr>
              <w:lastRenderedPageBreak/>
              <w:t>Addendum EU SCCs</w:t>
            </w:r>
          </w:p>
        </w:tc>
        <w:tc>
          <w:tcPr>
            <w:tcW w:w="3587" w:type="pct"/>
            <w:tcBorders>
              <w:left w:val="single" w:sz="4" w:space="0" w:color="FFC000"/>
            </w:tcBorders>
          </w:tcPr>
          <w:p w14:paraId="5B5DDD88" w14:textId="77777777" w:rsidR="00527F3A" w:rsidRPr="00E6761E" w:rsidRDefault="00527F3A" w:rsidP="002C3C05">
            <w:pPr>
              <w:pStyle w:val="Body"/>
            </w:pPr>
            <w:r>
              <w:t>The version(s) of the Approved EU SCCs which this Addendum is appended to, as set out in Table 2, including the Appendix Information.</w:t>
            </w:r>
          </w:p>
        </w:tc>
      </w:tr>
      <w:tr w:rsidR="00527F3A" w:rsidRPr="00E6761E" w14:paraId="15E9F08A" w14:textId="77777777" w:rsidTr="002C3C05">
        <w:tc>
          <w:tcPr>
            <w:tcW w:w="1413" w:type="pct"/>
            <w:tcBorders>
              <w:right w:val="single" w:sz="4" w:space="0" w:color="FFC000"/>
            </w:tcBorders>
            <w:shd w:val="clear" w:color="auto" w:fill="FFF9DD"/>
          </w:tcPr>
          <w:p w14:paraId="513371A5" w14:textId="77777777" w:rsidR="00527F3A" w:rsidRPr="002B2EB7" w:rsidRDefault="00527F3A" w:rsidP="002C3C05">
            <w:pPr>
              <w:pStyle w:val="Body"/>
              <w:rPr>
                <w:color w:val="003768"/>
              </w:rPr>
            </w:pPr>
            <w:r w:rsidRPr="002B2EB7">
              <w:rPr>
                <w:color w:val="003768"/>
              </w:rPr>
              <w:t>Appendix Information</w:t>
            </w:r>
          </w:p>
        </w:tc>
        <w:tc>
          <w:tcPr>
            <w:tcW w:w="3587" w:type="pct"/>
            <w:tcBorders>
              <w:left w:val="single" w:sz="4" w:space="0" w:color="FFC000"/>
            </w:tcBorders>
          </w:tcPr>
          <w:p w14:paraId="3D9B9D2F" w14:textId="77777777" w:rsidR="00527F3A" w:rsidRPr="001C3A39" w:rsidRDefault="00527F3A" w:rsidP="002C3C05">
            <w:pPr>
              <w:pStyle w:val="Body"/>
              <w:rPr>
                <w:highlight w:val="green"/>
              </w:rPr>
            </w:pPr>
            <w:r w:rsidRPr="00AD536D">
              <w:t xml:space="preserve">As set out in Table </w:t>
            </w:r>
            <w:r w:rsidRPr="00AD536D">
              <w:rPr>
                <w:rFonts w:ascii="Arial" w:hAnsi="Arial" w:cs="Arial"/>
              </w:rPr>
              <w:t>‎</w:t>
            </w:r>
            <w:r w:rsidRPr="00AD536D">
              <w:t>3.</w:t>
            </w:r>
          </w:p>
        </w:tc>
      </w:tr>
      <w:tr w:rsidR="00527F3A" w:rsidRPr="00E6761E" w14:paraId="08EAA845" w14:textId="77777777" w:rsidTr="002C3C05">
        <w:tc>
          <w:tcPr>
            <w:tcW w:w="1413" w:type="pct"/>
            <w:tcBorders>
              <w:right w:val="single" w:sz="4" w:space="0" w:color="FFC000"/>
            </w:tcBorders>
            <w:shd w:val="clear" w:color="auto" w:fill="FFF9DD"/>
          </w:tcPr>
          <w:p w14:paraId="4ABD9727" w14:textId="77777777" w:rsidR="00527F3A" w:rsidRPr="002B2EB7" w:rsidRDefault="00527F3A" w:rsidP="002C3C05">
            <w:pPr>
              <w:pStyle w:val="Body"/>
              <w:rPr>
                <w:color w:val="003768"/>
              </w:rPr>
            </w:pPr>
            <w:r w:rsidRPr="002B2EB7">
              <w:rPr>
                <w:color w:val="003768"/>
              </w:rPr>
              <w:t>Appropriate Safeguards</w:t>
            </w:r>
          </w:p>
        </w:tc>
        <w:tc>
          <w:tcPr>
            <w:tcW w:w="3587" w:type="pct"/>
            <w:tcBorders>
              <w:left w:val="single" w:sz="4" w:space="0" w:color="FFC000"/>
            </w:tcBorders>
          </w:tcPr>
          <w:p w14:paraId="665C95C6" w14:textId="77777777" w:rsidR="00527F3A" w:rsidRPr="00E6761E" w:rsidRDefault="00527F3A" w:rsidP="002C3C05">
            <w:pPr>
              <w:pStyle w:val="Body"/>
            </w:pPr>
            <w:r w:rsidRPr="00E6761E">
              <w:t>The standard of protection over the personal data and of data subjects’ rights, which is required by UK Data Protection Laws when you are making a Restricted Transfer relying on standard data protection clauses under Article 46(2)(d) UK GDPR.</w:t>
            </w:r>
          </w:p>
        </w:tc>
      </w:tr>
      <w:tr w:rsidR="00527F3A" w:rsidRPr="00E6761E" w14:paraId="4761A981" w14:textId="77777777" w:rsidTr="002C3C05">
        <w:tc>
          <w:tcPr>
            <w:tcW w:w="1413" w:type="pct"/>
            <w:tcBorders>
              <w:right w:val="single" w:sz="4" w:space="0" w:color="FFC000"/>
            </w:tcBorders>
            <w:shd w:val="clear" w:color="auto" w:fill="FFF9DD"/>
          </w:tcPr>
          <w:p w14:paraId="2D4622A7" w14:textId="77777777" w:rsidR="00527F3A" w:rsidRPr="002B2EB7" w:rsidRDefault="00527F3A" w:rsidP="002C3C05">
            <w:pPr>
              <w:pStyle w:val="Body"/>
              <w:rPr>
                <w:color w:val="003768"/>
              </w:rPr>
            </w:pPr>
            <w:r w:rsidRPr="002B2EB7">
              <w:rPr>
                <w:color w:val="003768"/>
              </w:rPr>
              <w:t>Approved Addendum</w:t>
            </w:r>
          </w:p>
        </w:tc>
        <w:tc>
          <w:tcPr>
            <w:tcW w:w="3587" w:type="pct"/>
            <w:tcBorders>
              <w:left w:val="single" w:sz="4" w:space="0" w:color="FFC000"/>
            </w:tcBorders>
            <w:vAlign w:val="center"/>
          </w:tcPr>
          <w:p w14:paraId="76AC345C" w14:textId="77777777" w:rsidR="00527F3A" w:rsidRPr="00E6761E" w:rsidRDefault="00527F3A" w:rsidP="002C3C05">
            <w:pPr>
              <w:pStyle w:val="Body"/>
            </w:pPr>
            <w:r w:rsidRPr="00E6761E">
              <w:t xml:space="preserve">The template Addendum issued by the ICO and laid before Parliament in accordance with </w:t>
            </w:r>
            <w:r>
              <w:t>s</w:t>
            </w:r>
            <w:r w:rsidRPr="00E6761E">
              <w:t>11</w:t>
            </w:r>
            <w:r>
              <w:t>9</w:t>
            </w:r>
            <w:r w:rsidRPr="00E6761E">
              <w:t xml:space="preserve">A of the Data Protection Act 2018 on </w:t>
            </w:r>
            <w:r>
              <w:t>2 February</w:t>
            </w:r>
            <w:r w:rsidRPr="00E6761E">
              <w:t xml:space="preserve"> 2022, as it is revised under Section </w:t>
            </w:r>
            <w:r w:rsidRPr="00E6761E">
              <w:fldChar w:fldCharType="begin"/>
            </w:r>
            <w:r w:rsidRPr="00E6761E">
              <w:instrText xml:space="preserve"> REF _Ref90907400 \r \h  \* MERGEFORMAT </w:instrText>
            </w:r>
            <w:r w:rsidRPr="00E6761E">
              <w:fldChar w:fldCharType="separate"/>
            </w:r>
            <w:r>
              <w:rPr>
                <w:rFonts w:hint="cs"/>
                <w:cs/>
              </w:rPr>
              <w:t>‎</w:t>
            </w:r>
            <w:r>
              <w:t>18</w:t>
            </w:r>
            <w:r w:rsidRPr="00E6761E">
              <w:fldChar w:fldCharType="end"/>
            </w:r>
            <w:r w:rsidRPr="00E6761E">
              <w:t>.</w:t>
            </w:r>
          </w:p>
        </w:tc>
      </w:tr>
      <w:tr w:rsidR="00527F3A" w:rsidRPr="00E6761E" w14:paraId="70356492" w14:textId="77777777" w:rsidTr="002C3C05">
        <w:tc>
          <w:tcPr>
            <w:tcW w:w="1413" w:type="pct"/>
            <w:tcBorders>
              <w:right w:val="single" w:sz="4" w:space="0" w:color="FFC000"/>
            </w:tcBorders>
            <w:shd w:val="clear" w:color="auto" w:fill="FFF9DD"/>
          </w:tcPr>
          <w:p w14:paraId="08B08BEA" w14:textId="77777777" w:rsidR="00527F3A" w:rsidRPr="002B2EB7" w:rsidRDefault="00527F3A" w:rsidP="002C3C05">
            <w:pPr>
              <w:pStyle w:val="Body"/>
              <w:rPr>
                <w:color w:val="003768"/>
              </w:rPr>
            </w:pPr>
            <w:r w:rsidRPr="002B2EB7">
              <w:rPr>
                <w:color w:val="003768"/>
              </w:rPr>
              <w:t xml:space="preserve">Approved EU SCCs </w:t>
            </w:r>
          </w:p>
        </w:tc>
        <w:tc>
          <w:tcPr>
            <w:tcW w:w="3587" w:type="pct"/>
            <w:tcBorders>
              <w:left w:val="single" w:sz="4" w:space="0" w:color="FFC000"/>
            </w:tcBorders>
          </w:tcPr>
          <w:p w14:paraId="77F43F82" w14:textId="77777777" w:rsidR="00527F3A" w:rsidRPr="00E6761E" w:rsidRDefault="00527F3A" w:rsidP="002C3C05">
            <w:pPr>
              <w:pStyle w:val="Body"/>
            </w:pPr>
            <w:r w:rsidRPr="00E6761E">
              <w:t>The Standard Contractual Clauses set out in the Annex of Commission Implementing Decision (EU) 2021/914 of 4 June 2021.</w:t>
            </w:r>
          </w:p>
        </w:tc>
      </w:tr>
      <w:tr w:rsidR="00527F3A" w:rsidRPr="00E6761E" w14:paraId="3262FE23" w14:textId="77777777" w:rsidTr="002C3C05">
        <w:tc>
          <w:tcPr>
            <w:tcW w:w="1413" w:type="pct"/>
            <w:tcBorders>
              <w:right w:val="single" w:sz="4" w:space="0" w:color="FFC000"/>
            </w:tcBorders>
            <w:shd w:val="clear" w:color="auto" w:fill="FFF9DD"/>
          </w:tcPr>
          <w:p w14:paraId="4B60291A" w14:textId="77777777" w:rsidR="00527F3A" w:rsidRPr="002B2EB7" w:rsidRDefault="00527F3A" w:rsidP="002C3C05">
            <w:pPr>
              <w:pStyle w:val="Body"/>
              <w:rPr>
                <w:color w:val="003768"/>
              </w:rPr>
            </w:pPr>
            <w:r w:rsidRPr="002B2EB7">
              <w:rPr>
                <w:color w:val="003768"/>
              </w:rPr>
              <w:t>ICO</w:t>
            </w:r>
          </w:p>
        </w:tc>
        <w:tc>
          <w:tcPr>
            <w:tcW w:w="3587" w:type="pct"/>
            <w:tcBorders>
              <w:left w:val="single" w:sz="4" w:space="0" w:color="FFC000"/>
            </w:tcBorders>
          </w:tcPr>
          <w:p w14:paraId="4315B239" w14:textId="77777777" w:rsidR="00527F3A" w:rsidRPr="00E6761E" w:rsidRDefault="00527F3A" w:rsidP="002C3C05">
            <w:pPr>
              <w:pStyle w:val="Body"/>
            </w:pPr>
            <w:r w:rsidRPr="00E6761E">
              <w:t>The Information Commissioner</w:t>
            </w:r>
            <w:r>
              <w:t>.</w:t>
            </w:r>
          </w:p>
        </w:tc>
      </w:tr>
      <w:tr w:rsidR="00527F3A" w:rsidRPr="00E6761E" w14:paraId="709547ED" w14:textId="77777777" w:rsidTr="002C3C05">
        <w:tc>
          <w:tcPr>
            <w:tcW w:w="1413" w:type="pct"/>
            <w:tcBorders>
              <w:right w:val="single" w:sz="4" w:space="0" w:color="FFC000"/>
            </w:tcBorders>
            <w:shd w:val="clear" w:color="auto" w:fill="FFF9DD"/>
          </w:tcPr>
          <w:p w14:paraId="1ABC5EDB" w14:textId="77777777" w:rsidR="00527F3A" w:rsidRPr="002B2EB7" w:rsidRDefault="00527F3A" w:rsidP="002C3C05">
            <w:pPr>
              <w:pStyle w:val="Body"/>
              <w:rPr>
                <w:color w:val="003768"/>
              </w:rPr>
            </w:pPr>
            <w:r w:rsidRPr="002B2EB7">
              <w:rPr>
                <w:color w:val="003768"/>
              </w:rPr>
              <w:t>Restricted Transfer</w:t>
            </w:r>
          </w:p>
        </w:tc>
        <w:tc>
          <w:tcPr>
            <w:tcW w:w="3587" w:type="pct"/>
            <w:tcBorders>
              <w:left w:val="single" w:sz="4" w:space="0" w:color="FFC000"/>
            </w:tcBorders>
          </w:tcPr>
          <w:p w14:paraId="478FBEBE" w14:textId="77777777" w:rsidR="00527F3A" w:rsidRPr="00E6761E" w:rsidRDefault="00527F3A" w:rsidP="002C3C05">
            <w:pPr>
              <w:pStyle w:val="Body"/>
            </w:pPr>
            <w:r w:rsidRPr="00E6761E">
              <w:t>A transfer which is covered by Chapter V of the UK GDPR.</w:t>
            </w:r>
          </w:p>
        </w:tc>
      </w:tr>
      <w:tr w:rsidR="00527F3A" w:rsidRPr="00E6761E" w14:paraId="674CD217" w14:textId="77777777" w:rsidTr="002C3C05">
        <w:tc>
          <w:tcPr>
            <w:tcW w:w="1413" w:type="pct"/>
            <w:tcBorders>
              <w:right w:val="single" w:sz="4" w:space="0" w:color="FFC000"/>
            </w:tcBorders>
            <w:shd w:val="clear" w:color="auto" w:fill="FFF9DD"/>
          </w:tcPr>
          <w:p w14:paraId="29F54530" w14:textId="77777777" w:rsidR="00527F3A" w:rsidRPr="002B2EB7" w:rsidRDefault="00527F3A" w:rsidP="002C3C05">
            <w:pPr>
              <w:pStyle w:val="Body"/>
              <w:rPr>
                <w:color w:val="003768"/>
              </w:rPr>
            </w:pPr>
            <w:r w:rsidRPr="002B2EB7">
              <w:rPr>
                <w:color w:val="003768"/>
              </w:rPr>
              <w:t xml:space="preserve">UK </w:t>
            </w:r>
          </w:p>
        </w:tc>
        <w:tc>
          <w:tcPr>
            <w:tcW w:w="3587" w:type="pct"/>
            <w:tcBorders>
              <w:left w:val="single" w:sz="4" w:space="0" w:color="FFC000"/>
            </w:tcBorders>
          </w:tcPr>
          <w:p w14:paraId="416C001B" w14:textId="77777777" w:rsidR="00527F3A" w:rsidRPr="00E6761E" w:rsidRDefault="00527F3A" w:rsidP="002C3C05">
            <w:pPr>
              <w:pStyle w:val="Body"/>
            </w:pPr>
            <w:r w:rsidRPr="00E6761E">
              <w:t>The United Kingdom of Great Britain and Northern Ireland.</w:t>
            </w:r>
          </w:p>
        </w:tc>
      </w:tr>
      <w:tr w:rsidR="00527F3A" w:rsidRPr="00E6761E" w14:paraId="211BA2EC" w14:textId="77777777" w:rsidTr="002C3C05">
        <w:tc>
          <w:tcPr>
            <w:tcW w:w="1413" w:type="pct"/>
            <w:tcBorders>
              <w:right w:val="single" w:sz="4" w:space="0" w:color="FFC000"/>
            </w:tcBorders>
            <w:shd w:val="clear" w:color="auto" w:fill="FFF9DD"/>
          </w:tcPr>
          <w:p w14:paraId="0924A4BC" w14:textId="77777777" w:rsidR="00527F3A" w:rsidRPr="002B2EB7" w:rsidRDefault="00527F3A" w:rsidP="002C3C05">
            <w:pPr>
              <w:pStyle w:val="Body"/>
              <w:rPr>
                <w:color w:val="003768"/>
              </w:rPr>
            </w:pPr>
            <w:r w:rsidRPr="002B2EB7">
              <w:rPr>
                <w:color w:val="003768"/>
              </w:rPr>
              <w:t xml:space="preserve">UK Data Protection Laws </w:t>
            </w:r>
          </w:p>
        </w:tc>
        <w:tc>
          <w:tcPr>
            <w:tcW w:w="3587" w:type="pct"/>
            <w:tcBorders>
              <w:left w:val="single" w:sz="4" w:space="0" w:color="FFC000"/>
            </w:tcBorders>
          </w:tcPr>
          <w:p w14:paraId="5DD074BF" w14:textId="77777777" w:rsidR="00527F3A" w:rsidRPr="00E6761E" w:rsidRDefault="00527F3A" w:rsidP="002C3C05">
            <w:pPr>
              <w:pStyle w:val="Body"/>
            </w:pPr>
            <w:r w:rsidRPr="00E6761E">
              <w:t>All laws relating to data protection, the processing of personal data, privacy and/or electronic communications in force from time to time in the UK, including the UK GDPR and the Data Protection Act 2018.</w:t>
            </w:r>
          </w:p>
        </w:tc>
      </w:tr>
      <w:tr w:rsidR="00527F3A" w:rsidRPr="00E6761E" w14:paraId="58026D24" w14:textId="77777777" w:rsidTr="002C3C05">
        <w:tc>
          <w:tcPr>
            <w:tcW w:w="1413" w:type="pct"/>
            <w:tcBorders>
              <w:bottom w:val="single" w:sz="18" w:space="0" w:color="FFC000"/>
              <w:right w:val="single" w:sz="4" w:space="0" w:color="FFC000"/>
            </w:tcBorders>
            <w:shd w:val="clear" w:color="auto" w:fill="FFF9DD"/>
          </w:tcPr>
          <w:p w14:paraId="3C4601EA" w14:textId="77777777" w:rsidR="00527F3A" w:rsidRPr="002B2EB7" w:rsidRDefault="00527F3A" w:rsidP="002C3C05">
            <w:pPr>
              <w:pStyle w:val="Body"/>
              <w:rPr>
                <w:color w:val="003768"/>
              </w:rPr>
            </w:pPr>
            <w:r w:rsidRPr="002B2EB7">
              <w:rPr>
                <w:color w:val="003768"/>
              </w:rPr>
              <w:t xml:space="preserve">UK GDPR </w:t>
            </w:r>
          </w:p>
        </w:tc>
        <w:tc>
          <w:tcPr>
            <w:tcW w:w="3587" w:type="pct"/>
            <w:tcBorders>
              <w:left w:val="single" w:sz="4" w:space="0" w:color="FFC000"/>
              <w:bottom w:val="single" w:sz="18" w:space="0" w:color="FFC000"/>
            </w:tcBorders>
          </w:tcPr>
          <w:p w14:paraId="64C4411A" w14:textId="77777777" w:rsidR="00527F3A" w:rsidRPr="00E6761E" w:rsidRDefault="00527F3A" w:rsidP="002C3C05">
            <w:pPr>
              <w:pStyle w:val="Body"/>
            </w:pPr>
            <w:r w:rsidRPr="00E6761E">
              <w:t>As defined in section 3 of the Data Protection Act 2018.</w:t>
            </w:r>
          </w:p>
        </w:tc>
      </w:tr>
      <w:bookmarkEnd w:id="25"/>
    </w:tbl>
    <w:p w14:paraId="7021F117" w14:textId="77777777" w:rsidR="00527F3A" w:rsidRDefault="00527F3A" w:rsidP="00527F3A">
      <w:pPr>
        <w:ind w:left="360"/>
      </w:pPr>
    </w:p>
    <w:p w14:paraId="612AF896"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 xml:space="preserve">This Addendum must always be interpreted in a manner that is consistent with UK Data Protection Laws and so that it fulfils the Parties’ obligation to provide the Appropriate Safeguards. </w:t>
      </w:r>
    </w:p>
    <w:p w14:paraId="488F8ECC"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 xml:space="preserve">If the provisions included in the Addendum EU SCCs amend the Approved SCCs in any way which is not permitted under the Approved EU SCCs or the Approved Addendum, such amendment(s) will </w:t>
      </w:r>
      <w:r w:rsidRPr="00527F3A">
        <w:rPr>
          <w:rFonts w:ascii="Times New Roman" w:hAnsi="Times New Roman" w:cs="Times New Roman"/>
        </w:rPr>
        <w:lastRenderedPageBreak/>
        <w:t>not be incorporated in this Addendum and the equivalent provision of the Approved EU SCCs will take their place.</w:t>
      </w:r>
    </w:p>
    <w:p w14:paraId="46660F10"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If there is any inconsistency or conflict between UK Data Protection Laws and this Addendum, UK Data Protection Laws applies.</w:t>
      </w:r>
    </w:p>
    <w:p w14:paraId="545CA251"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 xml:space="preserve">If the meaning of this Addendum is unclear or there is more than one meaning, the meaning which most closely aligns with UK Data Protection Laws applies. </w:t>
      </w:r>
    </w:p>
    <w:p w14:paraId="00CBDE89"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w:t>
      </w:r>
      <w:proofErr w:type="gramStart"/>
      <w:r w:rsidRPr="00527F3A">
        <w:rPr>
          <w:rFonts w:ascii="Times New Roman" w:hAnsi="Times New Roman" w:cs="Times New Roman"/>
        </w:rPr>
        <w:t>entered into</w:t>
      </w:r>
      <w:proofErr w:type="gramEnd"/>
      <w:r w:rsidRPr="00527F3A">
        <w:rPr>
          <w:rFonts w:ascii="Times New Roman" w:hAnsi="Times New Roman" w:cs="Times New Roman"/>
        </w:rPr>
        <w:t xml:space="preserve">. </w:t>
      </w:r>
    </w:p>
    <w:p w14:paraId="2824F0D5" w14:textId="77777777" w:rsidR="00527F3A" w:rsidRPr="00527F3A" w:rsidRDefault="00527F3A" w:rsidP="00527F3A">
      <w:pPr>
        <w:pStyle w:val="Heading3"/>
      </w:pPr>
      <w:r w:rsidRPr="00527F3A">
        <w:t xml:space="preserve">Hierarchy </w:t>
      </w:r>
    </w:p>
    <w:p w14:paraId="2C37E4A9" w14:textId="77777777" w:rsidR="00527F3A" w:rsidRPr="00527F3A" w:rsidRDefault="00527F3A" w:rsidP="00527F3A">
      <w:pPr>
        <w:pStyle w:val="NormalNumbered"/>
        <w:rPr>
          <w:rFonts w:ascii="Times New Roman" w:hAnsi="Times New Roman" w:cs="Times New Roman"/>
        </w:rPr>
      </w:pPr>
      <w:bookmarkStart w:id="31" w:name="_Ref90905648"/>
      <w:r w:rsidRPr="00527F3A">
        <w:rPr>
          <w:rFonts w:ascii="Times New Roman" w:hAnsi="Times New Roman" w:cs="Times New Roman"/>
        </w:rPr>
        <w:t xml:space="preserve">Although Clause 5 of the Approved EU SCCs sets out that the Approved EU SCCs prevail over all related agreements between the parties, the parties agree that, for Restricted Transfers, the hierarchy in Section </w:t>
      </w:r>
      <w:r w:rsidRPr="00527F3A">
        <w:rPr>
          <w:rFonts w:ascii="Times New Roman" w:hAnsi="Times New Roman" w:cs="Times New Roman"/>
        </w:rPr>
        <w:fldChar w:fldCharType="begin"/>
      </w:r>
      <w:r w:rsidRPr="00527F3A">
        <w:rPr>
          <w:rFonts w:ascii="Times New Roman" w:hAnsi="Times New Roman" w:cs="Times New Roman"/>
        </w:rPr>
        <w:instrText xml:space="preserve"> REF _Ref90905652 \r \h  \* MERGEFORMAT </w:instrText>
      </w:r>
      <w:r w:rsidRPr="00527F3A">
        <w:rPr>
          <w:rFonts w:ascii="Times New Roman" w:hAnsi="Times New Roman" w:cs="Times New Roman"/>
        </w:rPr>
      </w:r>
      <w:r w:rsidRPr="00527F3A">
        <w:rPr>
          <w:rFonts w:ascii="Times New Roman" w:hAnsi="Times New Roman" w:cs="Times New Roman"/>
        </w:rPr>
        <w:fldChar w:fldCharType="separate"/>
      </w:r>
      <w:r w:rsidRPr="00527F3A">
        <w:rPr>
          <w:rFonts w:ascii="Times New Roman" w:hAnsi="Times New Roman" w:cs="Times New Roman"/>
          <w:cs/>
        </w:rPr>
        <w:t>‎</w:t>
      </w:r>
      <w:r w:rsidRPr="00527F3A">
        <w:rPr>
          <w:rFonts w:ascii="Times New Roman" w:hAnsi="Times New Roman" w:cs="Times New Roman"/>
        </w:rPr>
        <w:t>10</w:t>
      </w:r>
      <w:r w:rsidRPr="00527F3A">
        <w:rPr>
          <w:rFonts w:ascii="Times New Roman" w:hAnsi="Times New Roman" w:cs="Times New Roman"/>
        </w:rPr>
        <w:fldChar w:fldCharType="end"/>
      </w:r>
      <w:r w:rsidRPr="00527F3A">
        <w:rPr>
          <w:rFonts w:ascii="Times New Roman" w:hAnsi="Times New Roman" w:cs="Times New Roman"/>
        </w:rPr>
        <w:t xml:space="preserve"> will prevail.</w:t>
      </w:r>
      <w:bookmarkEnd w:id="31"/>
    </w:p>
    <w:p w14:paraId="774BFF18" w14:textId="77777777" w:rsidR="00527F3A" w:rsidRPr="00527F3A" w:rsidRDefault="00527F3A" w:rsidP="00527F3A">
      <w:pPr>
        <w:pStyle w:val="NormalNumbered"/>
        <w:rPr>
          <w:rFonts w:ascii="Times New Roman" w:hAnsi="Times New Roman" w:cs="Times New Roman"/>
        </w:rPr>
      </w:pPr>
      <w:bookmarkStart w:id="32" w:name="_Ref90905652"/>
      <w:r w:rsidRPr="00527F3A">
        <w:rPr>
          <w:rFonts w:ascii="Times New Roman" w:hAnsi="Times New Roman" w:cs="Times New Roman"/>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39864028" w14:textId="77777777" w:rsidR="00527F3A" w:rsidRPr="00527F3A" w:rsidRDefault="00527F3A" w:rsidP="00527F3A">
      <w:pPr>
        <w:pStyle w:val="NormalNumbered"/>
        <w:rPr>
          <w:rFonts w:ascii="Times New Roman" w:hAnsi="Times New Roman" w:cs="Times New Roman"/>
        </w:rPr>
      </w:pPr>
      <w:bookmarkStart w:id="33" w:name="_Ref90906696"/>
      <w:r w:rsidRPr="00527F3A">
        <w:rPr>
          <w:rFonts w:ascii="Times New Roman" w:hAnsi="Times New Roman" w:cs="Times New Roman"/>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32"/>
      <w:bookmarkEnd w:id="33"/>
    </w:p>
    <w:p w14:paraId="6E580722" w14:textId="77777777" w:rsidR="00527F3A" w:rsidRPr="00527F3A" w:rsidRDefault="00527F3A" w:rsidP="00527F3A">
      <w:pPr>
        <w:pStyle w:val="Heading3"/>
      </w:pPr>
      <w:r w:rsidRPr="00527F3A">
        <w:t>Incorporation of and changes to the EU SCCs</w:t>
      </w:r>
    </w:p>
    <w:p w14:paraId="4216A3EE" w14:textId="77777777" w:rsidR="00527F3A" w:rsidRPr="00527F3A" w:rsidRDefault="00527F3A" w:rsidP="00527F3A">
      <w:pPr>
        <w:pStyle w:val="NormalNumbered"/>
        <w:rPr>
          <w:rFonts w:ascii="Times New Roman" w:hAnsi="Times New Roman" w:cs="Times New Roman"/>
        </w:rPr>
      </w:pPr>
      <w:bookmarkStart w:id="34" w:name="_Ref90906729"/>
      <w:bookmarkStart w:id="35" w:name="_Hlk92876330"/>
      <w:r w:rsidRPr="00527F3A">
        <w:rPr>
          <w:rFonts w:ascii="Times New Roman" w:hAnsi="Times New Roman" w:cs="Times New Roman"/>
        </w:rPr>
        <w:t>This Addendum incorporates the Addendum EU SCCs which are amended to the extent necessary so that:</w:t>
      </w:r>
      <w:bookmarkEnd w:id="34"/>
    </w:p>
    <w:p w14:paraId="799BAF9C" w14:textId="77777777" w:rsidR="00527F3A" w:rsidRPr="00527F3A" w:rsidRDefault="00527F3A" w:rsidP="00527F3A">
      <w:pPr>
        <w:numPr>
          <w:ilvl w:val="1"/>
          <w:numId w:val="32"/>
        </w:numPr>
        <w:spacing w:after="200" w:line="276" w:lineRule="auto"/>
        <w:ind w:left="1077" w:hanging="357"/>
      </w:pPr>
      <w:r w:rsidRPr="00527F3A">
        <w:t xml:space="preserve">together they operate for data transfers made by the data exporter to the data importer, to the extent that UK Data Protection Laws apply to the data exporter’s processing when making that data transfer, and they provide Appropriate Safeguards for those data </w:t>
      </w:r>
      <w:proofErr w:type="gramStart"/>
      <w:r w:rsidRPr="00527F3A">
        <w:t>transfers;</w:t>
      </w:r>
      <w:proofErr w:type="gramEnd"/>
      <w:r w:rsidRPr="00527F3A">
        <w:t xml:space="preserve"> </w:t>
      </w:r>
    </w:p>
    <w:p w14:paraId="64ACDED1" w14:textId="77777777" w:rsidR="00527F3A" w:rsidRPr="00527F3A" w:rsidRDefault="00527F3A" w:rsidP="00527F3A">
      <w:pPr>
        <w:numPr>
          <w:ilvl w:val="1"/>
          <w:numId w:val="32"/>
        </w:numPr>
        <w:spacing w:after="200" w:line="276" w:lineRule="auto"/>
        <w:ind w:left="1077" w:hanging="357"/>
      </w:pPr>
      <w:r w:rsidRPr="00527F3A">
        <w:t xml:space="preserve">Sections </w:t>
      </w:r>
      <w:r w:rsidRPr="00527F3A">
        <w:fldChar w:fldCharType="begin"/>
      </w:r>
      <w:r w:rsidRPr="00527F3A">
        <w:instrText xml:space="preserve"> REF _Ref90905648 \r \h  \* MERGEFORMAT </w:instrText>
      </w:r>
      <w:r w:rsidRPr="00527F3A">
        <w:fldChar w:fldCharType="separate"/>
      </w:r>
      <w:r w:rsidRPr="00527F3A">
        <w:rPr>
          <w:cs/>
        </w:rPr>
        <w:t>‎</w:t>
      </w:r>
      <w:r w:rsidRPr="00527F3A">
        <w:t>9</w:t>
      </w:r>
      <w:r w:rsidRPr="00527F3A">
        <w:fldChar w:fldCharType="end"/>
      </w:r>
      <w:r w:rsidRPr="00527F3A">
        <w:t xml:space="preserve"> to </w:t>
      </w:r>
      <w:r w:rsidRPr="00527F3A">
        <w:fldChar w:fldCharType="begin"/>
      </w:r>
      <w:r w:rsidRPr="00527F3A">
        <w:instrText xml:space="preserve"> REF _Ref90906696 \r \h  \* MERGEFORMAT </w:instrText>
      </w:r>
      <w:r w:rsidRPr="00527F3A">
        <w:fldChar w:fldCharType="separate"/>
      </w:r>
      <w:r w:rsidRPr="00527F3A">
        <w:rPr>
          <w:cs/>
        </w:rPr>
        <w:t>‎</w:t>
      </w:r>
      <w:r w:rsidRPr="00527F3A">
        <w:t>11</w:t>
      </w:r>
      <w:r w:rsidRPr="00527F3A">
        <w:fldChar w:fldCharType="end"/>
      </w:r>
      <w:r w:rsidRPr="00527F3A">
        <w:t xml:space="preserve"> override Clause 5 (Hierarchy) of the Addendum EU SCCs; and</w:t>
      </w:r>
    </w:p>
    <w:p w14:paraId="56ECEE89" w14:textId="77777777" w:rsidR="00527F3A" w:rsidRPr="00527F3A" w:rsidRDefault="00527F3A" w:rsidP="00527F3A">
      <w:pPr>
        <w:numPr>
          <w:ilvl w:val="1"/>
          <w:numId w:val="32"/>
        </w:numPr>
        <w:spacing w:after="200" w:line="276" w:lineRule="auto"/>
        <w:ind w:left="1077" w:hanging="357"/>
        <w:jc w:val="both"/>
      </w:pPr>
      <w:r w:rsidRPr="00527F3A">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5A87EC36" w14:textId="77777777" w:rsidR="00527F3A" w:rsidRPr="00527F3A" w:rsidRDefault="00527F3A" w:rsidP="00527F3A">
      <w:pPr>
        <w:pStyle w:val="NormalNumbered"/>
        <w:rPr>
          <w:rFonts w:ascii="Times New Roman" w:hAnsi="Times New Roman" w:cs="Times New Roman"/>
        </w:rPr>
      </w:pPr>
      <w:bookmarkStart w:id="36" w:name="_Ref90907070"/>
      <w:bookmarkEnd w:id="35"/>
      <w:r w:rsidRPr="00527F3A">
        <w:rPr>
          <w:rFonts w:ascii="Times New Roman" w:hAnsi="Times New Roman" w:cs="Times New Roman"/>
        </w:rPr>
        <w:lastRenderedPageBreak/>
        <w:t xml:space="preserve">Unless the Parties have agreed alternative amendments which meet the requirements of Section </w:t>
      </w:r>
      <w:r w:rsidRPr="00527F3A">
        <w:rPr>
          <w:rFonts w:ascii="Times New Roman" w:hAnsi="Times New Roman" w:cs="Times New Roman"/>
        </w:rPr>
        <w:fldChar w:fldCharType="begin"/>
      </w:r>
      <w:r w:rsidRPr="00527F3A">
        <w:rPr>
          <w:rFonts w:ascii="Times New Roman" w:hAnsi="Times New Roman" w:cs="Times New Roman"/>
        </w:rPr>
        <w:instrText xml:space="preserve"> REF _Ref90906729 \r \h  \* MERGEFORMAT </w:instrText>
      </w:r>
      <w:r w:rsidRPr="00527F3A">
        <w:rPr>
          <w:rFonts w:ascii="Times New Roman" w:hAnsi="Times New Roman" w:cs="Times New Roman"/>
        </w:rPr>
      </w:r>
      <w:r w:rsidRPr="00527F3A">
        <w:rPr>
          <w:rFonts w:ascii="Times New Roman" w:hAnsi="Times New Roman" w:cs="Times New Roman"/>
        </w:rPr>
        <w:fldChar w:fldCharType="separate"/>
      </w:r>
      <w:r w:rsidRPr="00527F3A">
        <w:rPr>
          <w:rFonts w:ascii="Times New Roman" w:hAnsi="Times New Roman" w:cs="Times New Roman"/>
          <w:cs/>
        </w:rPr>
        <w:t>‎</w:t>
      </w:r>
      <w:r w:rsidRPr="00527F3A">
        <w:rPr>
          <w:rFonts w:ascii="Times New Roman" w:hAnsi="Times New Roman" w:cs="Times New Roman"/>
        </w:rPr>
        <w:t>12</w:t>
      </w:r>
      <w:r w:rsidRPr="00527F3A">
        <w:rPr>
          <w:rFonts w:ascii="Times New Roman" w:hAnsi="Times New Roman" w:cs="Times New Roman"/>
        </w:rPr>
        <w:fldChar w:fldCharType="end"/>
      </w:r>
      <w:r w:rsidRPr="00527F3A">
        <w:rPr>
          <w:rFonts w:ascii="Times New Roman" w:hAnsi="Times New Roman" w:cs="Times New Roman"/>
        </w:rPr>
        <w:t xml:space="preserve">, the provisions of Section </w:t>
      </w:r>
      <w:r w:rsidRPr="00527F3A">
        <w:rPr>
          <w:rFonts w:ascii="Times New Roman" w:hAnsi="Times New Roman" w:cs="Times New Roman"/>
        </w:rPr>
        <w:fldChar w:fldCharType="begin"/>
      </w:r>
      <w:r w:rsidRPr="00527F3A">
        <w:rPr>
          <w:rFonts w:ascii="Times New Roman" w:hAnsi="Times New Roman" w:cs="Times New Roman"/>
        </w:rPr>
        <w:instrText xml:space="preserve"> REF _Ref90907321 \r \h  \* MERGEFORMAT </w:instrText>
      </w:r>
      <w:r w:rsidRPr="00527F3A">
        <w:rPr>
          <w:rFonts w:ascii="Times New Roman" w:hAnsi="Times New Roman" w:cs="Times New Roman"/>
        </w:rPr>
      </w:r>
      <w:r w:rsidRPr="00527F3A">
        <w:rPr>
          <w:rFonts w:ascii="Times New Roman" w:hAnsi="Times New Roman" w:cs="Times New Roman"/>
        </w:rPr>
        <w:fldChar w:fldCharType="separate"/>
      </w:r>
      <w:r w:rsidRPr="00527F3A">
        <w:rPr>
          <w:rFonts w:ascii="Times New Roman" w:hAnsi="Times New Roman" w:cs="Times New Roman"/>
          <w:cs/>
        </w:rPr>
        <w:t>‎</w:t>
      </w:r>
      <w:r w:rsidRPr="00527F3A">
        <w:rPr>
          <w:rFonts w:ascii="Times New Roman" w:hAnsi="Times New Roman" w:cs="Times New Roman"/>
        </w:rPr>
        <w:t>15</w:t>
      </w:r>
      <w:r w:rsidRPr="00527F3A">
        <w:rPr>
          <w:rFonts w:ascii="Times New Roman" w:hAnsi="Times New Roman" w:cs="Times New Roman"/>
        </w:rPr>
        <w:fldChar w:fldCharType="end"/>
      </w:r>
      <w:r w:rsidRPr="00527F3A">
        <w:rPr>
          <w:rFonts w:ascii="Times New Roman" w:hAnsi="Times New Roman" w:cs="Times New Roman"/>
        </w:rPr>
        <w:t xml:space="preserve"> will apply.</w:t>
      </w:r>
    </w:p>
    <w:p w14:paraId="2B7DC9C8"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 xml:space="preserve">No amendments to the Approved EU SCCs other than to meet the requirements of Section </w:t>
      </w:r>
      <w:r w:rsidRPr="00527F3A">
        <w:rPr>
          <w:rFonts w:ascii="Times New Roman" w:hAnsi="Times New Roman" w:cs="Times New Roman"/>
        </w:rPr>
        <w:fldChar w:fldCharType="begin"/>
      </w:r>
      <w:r w:rsidRPr="00527F3A">
        <w:rPr>
          <w:rFonts w:ascii="Times New Roman" w:hAnsi="Times New Roman" w:cs="Times New Roman"/>
        </w:rPr>
        <w:instrText xml:space="preserve"> REF _Ref90906729 \r \h  \* MERGEFORMAT </w:instrText>
      </w:r>
      <w:r w:rsidRPr="00527F3A">
        <w:rPr>
          <w:rFonts w:ascii="Times New Roman" w:hAnsi="Times New Roman" w:cs="Times New Roman"/>
        </w:rPr>
      </w:r>
      <w:r w:rsidRPr="00527F3A">
        <w:rPr>
          <w:rFonts w:ascii="Times New Roman" w:hAnsi="Times New Roman" w:cs="Times New Roman"/>
        </w:rPr>
        <w:fldChar w:fldCharType="separate"/>
      </w:r>
      <w:r w:rsidRPr="00527F3A">
        <w:rPr>
          <w:rFonts w:ascii="Times New Roman" w:hAnsi="Times New Roman" w:cs="Times New Roman"/>
          <w:cs/>
        </w:rPr>
        <w:t>‎</w:t>
      </w:r>
      <w:r w:rsidRPr="00527F3A">
        <w:rPr>
          <w:rFonts w:ascii="Times New Roman" w:hAnsi="Times New Roman" w:cs="Times New Roman"/>
        </w:rPr>
        <w:t>12</w:t>
      </w:r>
      <w:r w:rsidRPr="00527F3A">
        <w:rPr>
          <w:rFonts w:ascii="Times New Roman" w:hAnsi="Times New Roman" w:cs="Times New Roman"/>
        </w:rPr>
        <w:fldChar w:fldCharType="end"/>
      </w:r>
      <w:r w:rsidRPr="00527F3A">
        <w:rPr>
          <w:rFonts w:ascii="Times New Roman" w:hAnsi="Times New Roman" w:cs="Times New Roman"/>
        </w:rPr>
        <w:t xml:space="preserve"> may be made.</w:t>
      </w:r>
    </w:p>
    <w:p w14:paraId="13B2C24B" w14:textId="77777777" w:rsidR="00527F3A" w:rsidRPr="00527F3A" w:rsidRDefault="00527F3A" w:rsidP="00527F3A">
      <w:pPr>
        <w:pStyle w:val="NormalNumbered"/>
        <w:rPr>
          <w:rFonts w:ascii="Times New Roman" w:hAnsi="Times New Roman" w:cs="Times New Roman"/>
        </w:rPr>
      </w:pPr>
      <w:bookmarkStart w:id="37" w:name="_Ref90907321"/>
      <w:r w:rsidRPr="00527F3A">
        <w:rPr>
          <w:rFonts w:ascii="Times New Roman" w:hAnsi="Times New Roman" w:cs="Times New Roman"/>
        </w:rPr>
        <w:t xml:space="preserve">The following amendments to the Addendum EU SCCs (for the purpose of Section </w:t>
      </w:r>
      <w:r w:rsidRPr="00527F3A">
        <w:rPr>
          <w:rFonts w:ascii="Times New Roman" w:hAnsi="Times New Roman" w:cs="Times New Roman"/>
        </w:rPr>
        <w:fldChar w:fldCharType="begin"/>
      </w:r>
      <w:r w:rsidRPr="00527F3A">
        <w:rPr>
          <w:rFonts w:ascii="Times New Roman" w:hAnsi="Times New Roman" w:cs="Times New Roman"/>
        </w:rPr>
        <w:instrText xml:space="preserve"> REF _Ref90906729 \r \h  \* MERGEFORMAT </w:instrText>
      </w:r>
      <w:r w:rsidRPr="00527F3A">
        <w:rPr>
          <w:rFonts w:ascii="Times New Roman" w:hAnsi="Times New Roman" w:cs="Times New Roman"/>
        </w:rPr>
      </w:r>
      <w:r w:rsidRPr="00527F3A">
        <w:rPr>
          <w:rFonts w:ascii="Times New Roman" w:hAnsi="Times New Roman" w:cs="Times New Roman"/>
        </w:rPr>
        <w:fldChar w:fldCharType="separate"/>
      </w:r>
      <w:r w:rsidRPr="00527F3A">
        <w:rPr>
          <w:rFonts w:ascii="Times New Roman" w:hAnsi="Times New Roman" w:cs="Times New Roman"/>
          <w:cs/>
        </w:rPr>
        <w:t>‎</w:t>
      </w:r>
      <w:r w:rsidRPr="00527F3A">
        <w:rPr>
          <w:rFonts w:ascii="Times New Roman" w:hAnsi="Times New Roman" w:cs="Times New Roman"/>
        </w:rPr>
        <w:t>12</w:t>
      </w:r>
      <w:r w:rsidRPr="00527F3A">
        <w:rPr>
          <w:rFonts w:ascii="Times New Roman" w:hAnsi="Times New Roman" w:cs="Times New Roman"/>
        </w:rPr>
        <w:fldChar w:fldCharType="end"/>
      </w:r>
      <w:r w:rsidRPr="00527F3A">
        <w:rPr>
          <w:rFonts w:ascii="Times New Roman" w:hAnsi="Times New Roman" w:cs="Times New Roman"/>
        </w:rPr>
        <w:t>) are made:</w:t>
      </w:r>
      <w:bookmarkEnd w:id="36"/>
      <w:bookmarkEnd w:id="37"/>
      <w:r w:rsidRPr="00527F3A">
        <w:rPr>
          <w:rFonts w:ascii="Times New Roman" w:hAnsi="Times New Roman" w:cs="Times New Roman"/>
        </w:rPr>
        <w:t xml:space="preserve"> </w:t>
      </w:r>
    </w:p>
    <w:p w14:paraId="4BD47968" w14:textId="77777777" w:rsidR="00527F3A" w:rsidRPr="00527F3A" w:rsidRDefault="00527F3A" w:rsidP="00527F3A">
      <w:pPr>
        <w:numPr>
          <w:ilvl w:val="0"/>
          <w:numId w:val="34"/>
        </w:numPr>
        <w:spacing w:after="200" w:line="276" w:lineRule="auto"/>
        <w:ind w:hanging="360"/>
      </w:pPr>
      <w:r w:rsidRPr="00527F3A">
        <w:t xml:space="preserve">References to the “Clauses” means this Addendum, incorporating the Addendum EU </w:t>
      </w:r>
      <w:proofErr w:type="gramStart"/>
      <w:r w:rsidRPr="00527F3A">
        <w:t>SCCs;</w:t>
      </w:r>
      <w:proofErr w:type="gramEnd"/>
    </w:p>
    <w:p w14:paraId="31427388" w14:textId="77777777" w:rsidR="00527F3A" w:rsidRPr="00527F3A" w:rsidRDefault="00527F3A" w:rsidP="00527F3A">
      <w:pPr>
        <w:numPr>
          <w:ilvl w:val="0"/>
          <w:numId w:val="34"/>
        </w:numPr>
        <w:spacing w:after="200" w:line="276" w:lineRule="auto"/>
        <w:ind w:hanging="360"/>
      </w:pPr>
      <w:r w:rsidRPr="00527F3A">
        <w:t>In Clause 2, delete the words:</w:t>
      </w:r>
    </w:p>
    <w:p w14:paraId="5D56FFB2" w14:textId="77777777" w:rsidR="00527F3A" w:rsidRPr="00527F3A" w:rsidRDefault="00527F3A" w:rsidP="00527F3A">
      <w:pPr>
        <w:ind w:left="1440"/>
      </w:pPr>
      <w:r w:rsidRPr="00527F3A">
        <w:t>“</w:t>
      </w:r>
      <w:proofErr w:type="gramStart"/>
      <w:r w:rsidRPr="00527F3A">
        <w:t>and</w:t>
      </w:r>
      <w:proofErr w:type="gramEnd"/>
      <w:r w:rsidRPr="00527F3A">
        <w:t>, with respect to data transfers from controllers to processors and/or processors to processors, standard contractual clauses pursuant to Article 28(7) of Regulation (EU) 2016/679”;</w:t>
      </w:r>
    </w:p>
    <w:p w14:paraId="6D9C40F4" w14:textId="77777777" w:rsidR="00527F3A" w:rsidRPr="00527F3A" w:rsidRDefault="00527F3A" w:rsidP="00527F3A">
      <w:pPr>
        <w:numPr>
          <w:ilvl w:val="0"/>
          <w:numId w:val="34"/>
        </w:numPr>
        <w:spacing w:after="200" w:line="276" w:lineRule="auto"/>
        <w:ind w:hanging="360"/>
      </w:pPr>
      <w:r w:rsidRPr="00527F3A">
        <w:t>Clause 6 (Description of the transfer(s)) is replaced with:</w:t>
      </w:r>
    </w:p>
    <w:p w14:paraId="1E74C30F" w14:textId="77777777" w:rsidR="00527F3A" w:rsidRPr="00527F3A" w:rsidRDefault="00527F3A" w:rsidP="00527F3A">
      <w:pPr>
        <w:ind w:left="1440"/>
      </w:pPr>
      <w:r w:rsidRPr="00527F3A">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roofErr w:type="gramStart"/>
      <w:r w:rsidRPr="00527F3A">
        <w:t>”;</w:t>
      </w:r>
      <w:proofErr w:type="gramEnd"/>
    </w:p>
    <w:p w14:paraId="006BD804" w14:textId="77777777" w:rsidR="00527F3A" w:rsidRPr="00527F3A" w:rsidRDefault="00527F3A" w:rsidP="00527F3A">
      <w:pPr>
        <w:numPr>
          <w:ilvl w:val="0"/>
          <w:numId w:val="34"/>
        </w:numPr>
        <w:spacing w:after="200" w:line="276" w:lineRule="auto"/>
        <w:ind w:hanging="360"/>
      </w:pPr>
      <w:r w:rsidRPr="00527F3A">
        <w:t>Clause 8.7(</w:t>
      </w:r>
      <w:proofErr w:type="spellStart"/>
      <w:r w:rsidRPr="00527F3A">
        <w:t>i</w:t>
      </w:r>
      <w:proofErr w:type="spellEnd"/>
      <w:r w:rsidRPr="00527F3A">
        <w:t>) of Module 1 is replaced with:</w:t>
      </w:r>
    </w:p>
    <w:p w14:paraId="444AC275" w14:textId="77777777" w:rsidR="00527F3A" w:rsidRPr="00527F3A" w:rsidRDefault="00527F3A" w:rsidP="00527F3A">
      <w:pPr>
        <w:ind w:left="1440"/>
      </w:pPr>
      <w:r w:rsidRPr="00527F3A">
        <w:t>“</w:t>
      </w:r>
      <w:proofErr w:type="gramStart"/>
      <w:r w:rsidRPr="00527F3A">
        <w:t>it</w:t>
      </w:r>
      <w:proofErr w:type="gramEnd"/>
      <w:r w:rsidRPr="00527F3A">
        <w:t xml:space="preserve"> is to a country benefitting from adequacy regulations pursuant to Section 17A of the UK GDPR that covers the onward transfer”;</w:t>
      </w:r>
    </w:p>
    <w:p w14:paraId="0312D468" w14:textId="77777777" w:rsidR="00527F3A" w:rsidRPr="00527F3A" w:rsidRDefault="00527F3A" w:rsidP="00527F3A">
      <w:pPr>
        <w:numPr>
          <w:ilvl w:val="0"/>
          <w:numId w:val="34"/>
        </w:numPr>
        <w:spacing w:after="200" w:line="276" w:lineRule="auto"/>
        <w:ind w:hanging="360"/>
      </w:pPr>
      <w:r w:rsidRPr="00527F3A">
        <w:t>Clause 8.8(</w:t>
      </w:r>
      <w:proofErr w:type="spellStart"/>
      <w:r w:rsidRPr="00527F3A">
        <w:t>i</w:t>
      </w:r>
      <w:proofErr w:type="spellEnd"/>
      <w:r w:rsidRPr="00527F3A">
        <w:t>) of Modules 2 and 3 is replaced with:</w:t>
      </w:r>
    </w:p>
    <w:p w14:paraId="046B46D1" w14:textId="77777777" w:rsidR="00527F3A" w:rsidRPr="00527F3A" w:rsidRDefault="00527F3A" w:rsidP="00527F3A">
      <w:pPr>
        <w:ind w:left="1440"/>
      </w:pPr>
      <w:r w:rsidRPr="00527F3A">
        <w:t>“</w:t>
      </w:r>
      <w:proofErr w:type="gramStart"/>
      <w:r w:rsidRPr="00527F3A">
        <w:t>the</w:t>
      </w:r>
      <w:proofErr w:type="gramEnd"/>
      <w:r w:rsidRPr="00527F3A">
        <w:t xml:space="preserve"> onward transfer is to a country benefitting from adequacy regulations pursuant to Section 17A of the UK GDPR that covers the onward transfer;”</w:t>
      </w:r>
    </w:p>
    <w:p w14:paraId="228879C6" w14:textId="77777777" w:rsidR="00527F3A" w:rsidRPr="00527F3A" w:rsidRDefault="00527F3A" w:rsidP="00527F3A">
      <w:pPr>
        <w:numPr>
          <w:ilvl w:val="0"/>
          <w:numId w:val="34"/>
        </w:numPr>
        <w:spacing w:after="200" w:line="276" w:lineRule="auto"/>
        <w:ind w:hanging="360"/>
      </w:pPr>
      <w:r w:rsidRPr="00527F3A">
        <w:t xml:space="preserve">References to “Regulation (EU) 2016/679”, “Regulation (EU) 2016/679 of the European Parliament and of the Council of 27 April 2016 on the protection of natural persons </w:t>
      </w:r>
      <w:proofErr w:type="gramStart"/>
      <w:r w:rsidRPr="00527F3A">
        <w:t>with regard to</w:t>
      </w:r>
      <w:proofErr w:type="gramEnd"/>
      <w:r w:rsidRPr="00527F3A">
        <w:t xml:space="preserve">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w:t>
      </w:r>
      <w:proofErr w:type="gramStart"/>
      <w:r w:rsidRPr="00527F3A">
        <w:t>Laws;</w:t>
      </w:r>
      <w:proofErr w:type="gramEnd"/>
    </w:p>
    <w:p w14:paraId="68B47417" w14:textId="77777777" w:rsidR="00527F3A" w:rsidRPr="00527F3A" w:rsidRDefault="00527F3A" w:rsidP="00527F3A">
      <w:pPr>
        <w:numPr>
          <w:ilvl w:val="0"/>
          <w:numId w:val="34"/>
        </w:numPr>
        <w:spacing w:after="200" w:line="276" w:lineRule="auto"/>
        <w:ind w:hanging="360"/>
      </w:pPr>
      <w:r w:rsidRPr="00527F3A">
        <w:t xml:space="preserve">References to Regulation (EU) 2018/1725 are </w:t>
      </w:r>
      <w:proofErr w:type="gramStart"/>
      <w:r w:rsidRPr="00527F3A">
        <w:t>removed;</w:t>
      </w:r>
      <w:proofErr w:type="gramEnd"/>
    </w:p>
    <w:p w14:paraId="6DD678C5" w14:textId="77777777" w:rsidR="00527F3A" w:rsidRPr="00527F3A" w:rsidRDefault="00527F3A" w:rsidP="00527F3A">
      <w:pPr>
        <w:numPr>
          <w:ilvl w:val="0"/>
          <w:numId w:val="34"/>
        </w:numPr>
        <w:spacing w:after="200" w:line="276" w:lineRule="auto"/>
        <w:ind w:hanging="360"/>
      </w:pPr>
      <w:r w:rsidRPr="00527F3A">
        <w:t>References to the “European Union”, “Union”, “EU”, “EU Member State”, “Member State” and “EU or Member State” are all replaced with the “UK</w:t>
      </w:r>
      <w:proofErr w:type="gramStart"/>
      <w:r w:rsidRPr="00527F3A">
        <w:t>”;</w:t>
      </w:r>
      <w:proofErr w:type="gramEnd"/>
    </w:p>
    <w:p w14:paraId="57E420FD" w14:textId="77777777" w:rsidR="00527F3A" w:rsidRPr="00527F3A" w:rsidRDefault="00527F3A" w:rsidP="00527F3A">
      <w:pPr>
        <w:numPr>
          <w:ilvl w:val="0"/>
          <w:numId w:val="34"/>
        </w:numPr>
        <w:spacing w:after="200" w:line="276" w:lineRule="auto"/>
        <w:ind w:hanging="360"/>
      </w:pPr>
      <w:r w:rsidRPr="00527F3A">
        <w:t>The reference to “Clause 12(c)(</w:t>
      </w:r>
      <w:proofErr w:type="spellStart"/>
      <w:r w:rsidRPr="00527F3A">
        <w:t>i</w:t>
      </w:r>
      <w:proofErr w:type="spellEnd"/>
      <w:r w:rsidRPr="00527F3A">
        <w:t>)” at Clause 10(b)(</w:t>
      </w:r>
      <w:proofErr w:type="spellStart"/>
      <w:r w:rsidRPr="00527F3A">
        <w:t>i</w:t>
      </w:r>
      <w:proofErr w:type="spellEnd"/>
      <w:r w:rsidRPr="00527F3A">
        <w:t>) of Module one, is replaced with “Clause 11(c)(</w:t>
      </w:r>
      <w:proofErr w:type="spellStart"/>
      <w:r w:rsidRPr="00527F3A">
        <w:t>i</w:t>
      </w:r>
      <w:proofErr w:type="spellEnd"/>
      <w:r w:rsidRPr="00527F3A">
        <w:t>)</w:t>
      </w:r>
      <w:proofErr w:type="gramStart"/>
      <w:r w:rsidRPr="00527F3A">
        <w:t>”;</w:t>
      </w:r>
      <w:proofErr w:type="gramEnd"/>
    </w:p>
    <w:p w14:paraId="65D27AD3" w14:textId="77777777" w:rsidR="00527F3A" w:rsidRPr="00527F3A" w:rsidRDefault="00527F3A" w:rsidP="00527F3A">
      <w:pPr>
        <w:numPr>
          <w:ilvl w:val="0"/>
          <w:numId w:val="34"/>
        </w:numPr>
        <w:spacing w:after="200" w:line="276" w:lineRule="auto"/>
        <w:ind w:hanging="360"/>
      </w:pPr>
      <w:r w:rsidRPr="00527F3A">
        <w:t xml:space="preserve">Clause 13(a) and Part C of Annex I are not </w:t>
      </w:r>
      <w:proofErr w:type="gramStart"/>
      <w:r w:rsidRPr="00527F3A">
        <w:t>used;</w:t>
      </w:r>
      <w:proofErr w:type="gramEnd"/>
      <w:r w:rsidRPr="00527F3A">
        <w:t xml:space="preserve"> </w:t>
      </w:r>
    </w:p>
    <w:p w14:paraId="56BEE697" w14:textId="77777777" w:rsidR="00527F3A" w:rsidRPr="00527F3A" w:rsidRDefault="00527F3A" w:rsidP="00527F3A">
      <w:pPr>
        <w:numPr>
          <w:ilvl w:val="0"/>
          <w:numId w:val="34"/>
        </w:numPr>
        <w:spacing w:after="200" w:line="276" w:lineRule="auto"/>
        <w:ind w:hanging="360"/>
      </w:pPr>
      <w:r w:rsidRPr="00527F3A">
        <w:lastRenderedPageBreak/>
        <w:t>The “competent supervisory authority” and “supervisory authority” are both replaced with the “Information Commissioner</w:t>
      </w:r>
      <w:proofErr w:type="gramStart"/>
      <w:r w:rsidRPr="00527F3A">
        <w:t>”;</w:t>
      </w:r>
      <w:proofErr w:type="gramEnd"/>
    </w:p>
    <w:p w14:paraId="74A104F2" w14:textId="77777777" w:rsidR="00527F3A" w:rsidRPr="00527F3A" w:rsidRDefault="00527F3A" w:rsidP="00527F3A">
      <w:pPr>
        <w:numPr>
          <w:ilvl w:val="0"/>
          <w:numId w:val="34"/>
        </w:numPr>
        <w:spacing w:after="200" w:line="276" w:lineRule="auto"/>
        <w:ind w:hanging="360"/>
      </w:pPr>
      <w:r w:rsidRPr="00527F3A">
        <w:t>In Clause 16(e), subsection (</w:t>
      </w:r>
      <w:proofErr w:type="spellStart"/>
      <w:r w:rsidRPr="00527F3A">
        <w:t>i</w:t>
      </w:r>
      <w:proofErr w:type="spellEnd"/>
      <w:r w:rsidRPr="00527F3A">
        <w:t>) is replaced with:</w:t>
      </w:r>
    </w:p>
    <w:p w14:paraId="6047ACCD" w14:textId="77777777" w:rsidR="00527F3A" w:rsidRPr="00527F3A" w:rsidRDefault="00527F3A" w:rsidP="00527F3A">
      <w:pPr>
        <w:spacing w:line="274" w:lineRule="auto"/>
        <w:ind w:left="1440"/>
      </w:pPr>
      <w:r w:rsidRPr="00527F3A">
        <w:t>“</w:t>
      </w:r>
      <w:proofErr w:type="gramStart"/>
      <w:r w:rsidRPr="00527F3A">
        <w:t>the</w:t>
      </w:r>
      <w:proofErr w:type="gramEnd"/>
      <w:r w:rsidRPr="00527F3A">
        <w:t xml:space="preserve"> Secretary of State makes regulations pursuant to Section 17A of the Data Protection Act 2018 that cover the transfer of personal data to which these clauses apply;”;</w:t>
      </w:r>
    </w:p>
    <w:p w14:paraId="38BD1C19" w14:textId="77777777" w:rsidR="00527F3A" w:rsidRPr="00527F3A" w:rsidRDefault="00527F3A" w:rsidP="00527F3A">
      <w:pPr>
        <w:numPr>
          <w:ilvl w:val="0"/>
          <w:numId w:val="34"/>
        </w:numPr>
        <w:spacing w:after="200" w:line="274" w:lineRule="auto"/>
        <w:ind w:hanging="360"/>
      </w:pPr>
      <w:r w:rsidRPr="00527F3A">
        <w:t>Clause 17 is replaced with:</w:t>
      </w:r>
    </w:p>
    <w:p w14:paraId="49EBCCF0" w14:textId="77777777" w:rsidR="00527F3A" w:rsidRPr="00527F3A" w:rsidRDefault="00527F3A" w:rsidP="00527F3A">
      <w:pPr>
        <w:spacing w:line="274" w:lineRule="auto"/>
        <w:ind w:left="1440"/>
      </w:pPr>
      <w:r w:rsidRPr="00527F3A">
        <w:t>“These Clauses are governed by the laws of England and Wales.</w:t>
      </w:r>
      <w:proofErr w:type="gramStart"/>
      <w:r w:rsidRPr="00527F3A">
        <w:t>”;</w:t>
      </w:r>
      <w:proofErr w:type="gramEnd"/>
    </w:p>
    <w:p w14:paraId="7621F591" w14:textId="77777777" w:rsidR="00527F3A" w:rsidRPr="00527F3A" w:rsidRDefault="00527F3A" w:rsidP="00527F3A">
      <w:pPr>
        <w:numPr>
          <w:ilvl w:val="0"/>
          <w:numId w:val="34"/>
        </w:numPr>
        <w:spacing w:after="200" w:line="276" w:lineRule="auto"/>
        <w:ind w:hanging="360"/>
      </w:pPr>
      <w:r w:rsidRPr="00527F3A">
        <w:t>Clause 18 is replaced with:</w:t>
      </w:r>
    </w:p>
    <w:p w14:paraId="0FD6A87A" w14:textId="77777777" w:rsidR="00527F3A" w:rsidRPr="00527F3A" w:rsidRDefault="00527F3A" w:rsidP="00527F3A">
      <w:pPr>
        <w:ind w:left="1440"/>
      </w:pPr>
      <w:bookmarkStart w:id="38" w:name="_Hlk92820147"/>
      <w:r w:rsidRPr="00527F3A">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bookmarkEnd w:id="38"/>
    <w:p w14:paraId="3909F9E8" w14:textId="77777777" w:rsidR="00527F3A" w:rsidRPr="00527F3A" w:rsidRDefault="00527F3A" w:rsidP="00527F3A">
      <w:pPr>
        <w:numPr>
          <w:ilvl w:val="0"/>
          <w:numId w:val="34"/>
        </w:numPr>
        <w:spacing w:after="200" w:line="276" w:lineRule="auto"/>
        <w:ind w:hanging="360"/>
      </w:pPr>
      <w:r w:rsidRPr="00527F3A">
        <w:t xml:space="preserve">The footnotes to the Approved EU SCCs do not form part of the Addendum, except for footnotes 8, 9, 10 and 11. </w:t>
      </w:r>
    </w:p>
    <w:p w14:paraId="4EC50BDA" w14:textId="77777777" w:rsidR="00527F3A" w:rsidRPr="00527F3A" w:rsidRDefault="00527F3A" w:rsidP="00527F3A">
      <w:pPr>
        <w:pStyle w:val="Heading3"/>
      </w:pPr>
      <w:r w:rsidRPr="00527F3A">
        <w:t xml:space="preserve">Amendments to this Addendum </w:t>
      </w:r>
    </w:p>
    <w:p w14:paraId="78648A7A" w14:textId="77777777" w:rsidR="00527F3A" w:rsidRPr="00527F3A" w:rsidRDefault="00527F3A" w:rsidP="00527F3A">
      <w:pPr>
        <w:pStyle w:val="NormalNumbered"/>
        <w:rPr>
          <w:rFonts w:ascii="Times New Roman" w:hAnsi="Times New Roman" w:cs="Times New Roman"/>
        </w:rPr>
      </w:pPr>
      <w:bookmarkStart w:id="39" w:name="_Ref90906380"/>
      <w:r w:rsidRPr="00527F3A">
        <w:rPr>
          <w:rFonts w:ascii="Times New Roman" w:hAnsi="Times New Roman" w:cs="Times New Roman"/>
        </w:rPr>
        <w:t>The Parties may agree to change Clauses 17 and/or 18 of the Addendum EU SCCs to refer to the laws and/or courts of Scotland or Northern Ireland.</w:t>
      </w:r>
      <w:bookmarkEnd w:id="39"/>
    </w:p>
    <w:p w14:paraId="442153D2" w14:textId="77777777" w:rsidR="00527F3A" w:rsidRPr="00527F3A" w:rsidRDefault="00527F3A" w:rsidP="00527F3A">
      <w:pPr>
        <w:pStyle w:val="NormalNumbered"/>
        <w:rPr>
          <w:rFonts w:ascii="Times New Roman" w:hAnsi="Times New Roman" w:cs="Times New Roman"/>
        </w:rPr>
      </w:pPr>
      <w:r w:rsidRPr="00527F3A">
        <w:rPr>
          <w:rFonts w:ascii="Times New Roman" w:hAnsi="Times New Roman" w:cs="Times New Roman"/>
        </w:rPr>
        <w:t>If the Parties wish to change the format of the information included in Part 1: Tables of the Approved Addendum, they may do so by agreeing to the change in writing, provided that the change does not reduce the Appropriate Safeguards.</w:t>
      </w:r>
    </w:p>
    <w:p w14:paraId="4D996F89" w14:textId="77777777" w:rsidR="00527F3A" w:rsidRDefault="00527F3A" w:rsidP="00527F3A">
      <w:pPr>
        <w:pStyle w:val="NormalNumbered"/>
      </w:pPr>
      <w:bookmarkStart w:id="40" w:name="_Ref90907400"/>
      <w:r w:rsidRPr="00527F3A">
        <w:rPr>
          <w:rFonts w:ascii="Times New Roman" w:hAnsi="Times New Roman" w:cs="Times New Roman"/>
        </w:rPr>
        <w:t>From time to time, the ICO may issue a revised Approved Addendum which</w:t>
      </w:r>
      <w:r>
        <w:t>:</w:t>
      </w:r>
      <w:bookmarkEnd w:id="40"/>
      <w:r>
        <w:t xml:space="preserve"> </w:t>
      </w:r>
    </w:p>
    <w:p w14:paraId="1258C938" w14:textId="77777777" w:rsidR="00527F3A" w:rsidRPr="00527F3A" w:rsidRDefault="00527F3A" w:rsidP="00527F3A">
      <w:pPr>
        <w:pStyle w:val="ListParagraph"/>
        <w:numPr>
          <w:ilvl w:val="0"/>
          <w:numId w:val="36"/>
        </w:numPr>
        <w:spacing w:after="366"/>
        <w:ind w:left="1077" w:hanging="357"/>
        <w:rPr>
          <w:rFonts w:ascii="Times New Roman" w:hAnsi="Times New Roman" w:cs="Times New Roman"/>
        </w:rPr>
      </w:pPr>
      <w:r w:rsidRPr="00527F3A">
        <w:rPr>
          <w:rFonts w:ascii="Times New Roman" w:hAnsi="Times New Roman" w:cs="Times New Roman"/>
        </w:rPr>
        <w:t>makes reasonable and proportionate changes to the Approved Addendum, including correcting errors in the Approved Addendum; and/or</w:t>
      </w:r>
    </w:p>
    <w:p w14:paraId="732C12C7" w14:textId="77777777" w:rsidR="00527F3A" w:rsidRPr="00527F3A" w:rsidRDefault="00527F3A" w:rsidP="00527F3A">
      <w:pPr>
        <w:pStyle w:val="ListParagraph"/>
        <w:numPr>
          <w:ilvl w:val="0"/>
          <w:numId w:val="36"/>
        </w:numPr>
        <w:ind w:left="1077" w:hanging="357"/>
        <w:rPr>
          <w:rFonts w:ascii="Times New Roman" w:hAnsi="Times New Roman" w:cs="Times New Roman"/>
        </w:rPr>
      </w:pPr>
      <w:r w:rsidRPr="00527F3A">
        <w:rPr>
          <w:rFonts w:ascii="Times New Roman" w:hAnsi="Times New Roman" w:cs="Times New Roman"/>
        </w:rPr>
        <w:t xml:space="preserve">reflects changes to UK Data Protection </w:t>
      </w:r>
      <w:proofErr w:type="gramStart"/>
      <w:r w:rsidRPr="00527F3A">
        <w:rPr>
          <w:rFonts w:ascii="Times New Roman" w:hAnsi="Times New Roman" w:cs="Times New Roman"/>
        </w:rPr>
        <w:t>Laws;</w:t>
      </w:r>
      <w:proofErr w:type="gramEnd"/>
    </w:p>
    <w:p w14:paraId="7CD9474A" w14:textId="77777777" w:rsidR="00527F3A" w:rsidRPr="00527F3A" w:rsidRDefault="00527F3A" w:rsidP="00527F3A">
      <w:pPr>
        <w:pStyle w:val="NormalNumbered"/>
        <w:numPr>
          <w:ilvl w:val="0"/>
          <w:numId w:val="0"/>
        </w:numPr>
        <w:ind w:left="454"/>
        <w:rPr>
          <w:rFonts w:ascii="Times New Roman" w:hAnsi="Times New Roman" w:cs="Times New Roman"/>
        </w:rPr>
      </w:pPr>
      <w:r w:rsidRPr="00527F3A">
        <w:rPr>
          <w:rFonts w:ascii="Times New Roman" w:hAnsi="Times New Roman" w:cs="Times New Roman"/>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3690CA69" w14:textId="77777777" w:rsidR="00527F3A" w:rsidRPr="00527F3A" w:rsidRDefault="00527F3A" w:rsidP="00527F3A">
      <w:pPr>
        <w:pStyle w:val="NormalNumbered"/>
        <w:rPr>
          <w:rFonts w:ascii="Times New Roman" w:hAnsi="Times New Roman" w:cs="Times New Roman"/>
        </w:rPr>
      </w:pPr>
      <w:bookmarkStart w:id="41" w:name="_Ref93329888"/>
      <w:bookmarkStart w:id="42" w:name="_Ref92725699"/>
      <w:r w:rsidRPr="00527F3A">
        <w:rPr>
          <w:rFonts w:ascii="Times New Roman" w:hAnsi="Times New Roman" w:cs="Times New Roman"/>
        </w:rPr>
        <w:t xml:space="preserve">If the ICO issues a revised Approved Addendum under Section </w:t>
      </w:r>
      <w:r w:rsidRPr="00527F3A">
        <w:rPr>
          <w:rFonts w:ascii="Times New Roman" w:hAnsi="Times New Roman" w:cs="Times New Roman"/>
        </w:rPr>
        <w:fldChar w:fldCharType="begin"/>
      </w:r>
      <w:r w:rsidRPr="00527F3A">
        <w:rPr>
          <w:rFonts w:ascii="Times New Roman" w:hAnsi="Times New Roman" w:cs="Times New Roman"/>
        </w:rPr>
        <w:instrText xml:space="preserve"> REF _Ref90907400 \r \h  \* MERGEFORMAT </w:instrText>
      </w:r>
      <w:r w:rsidRPr="00527F3A">
        <w:rPr>
          <w:rFonts w:ascii="Times New Roman" w:hAnsi="Times New Roman" w:cs="Times New Roman"/>
        </w:rPr>
      </w:r>
      <w:r w:rsidRPr="00527F3A">
        <w:rPr>
          <w:rFonts w:ascii="Times New Roman" w:hAnsi="Times New Roman" w:cs="Times New Roman"/>
        </w:rPr>
        <w:fldChar w:fldCharType="separate"/>
      </w:r>
      <w:r w:rsidRPr="00527F3A">
        <w:rPr>
          <w:rFonts w:ascii="Times New Roman" w:hAnsi="Times New Roman" w:cs="Times New Roman"/>
          <w:cs/>
        </w:rPr>
        <w:t>‎</w:t>
      </w:r>
      <w:r w:rsidRPr="00527F3A">
        <w:rPr>
          <w:rFonts w:ascii="Times New Roman" w:hAnsi="Times New Roman" w:cs="Times New Roman"/>
        </w:rPr>
        <w:t>18</w:t>
      </w:r>
      <w:r w:rsidRPr="00527F3A">
        <w:rPr>
          <w:rFonts w:ascii="Times New Roman" w:hAnsi="Times New Roman" w:cs="Times New Roman"/>
        </w:rPr>
        <w:fldChar w:fldCharType="end"/>
      </w:r>
      <w:r w:rsidRPr="00527F3A">
        <w:rPr>
          <w:rFonts w:ascii="Times New Roman" w:hAnsi="Times New Roman" w:cs="Times New Roman"/>
        </w:rPr>
        <w:t xml:space="preserve">, if any Party selected in Table 4 “Ending the Addendum when the Approved Addendum changes”, will as a direct result of the changes in the Approved Addendum have a substantial, </w:t>
      </w:r>
      <w:proofErr w:type="gramStart"/>
      <w:r w:rsidRPr="00527F3A">
        <w:rPr>
          <w:rFonts w:ascii="Times New Roman" w:hAnsi="Times New Roman" w:cs="Times New Roman"/>
        </w:rPr>
        <w:t>disproportionate</w:t>
      </w:r>
      <w:proofErr w:type="gramEnd"/>
      <w:r w:rsidRPr="00527F3A">
        <w:rPr>
          <w:rFonts w:ascii="Times New Roman" w:hAnsi="Times New Roman" w:cs="Times New Roman"/>
        </w:rPr>
        <w:t xml:space="preserve"> and demonstrable increase in:</w:t>
      </w:r>
      <w:bookmarkEnd w:id="41"/>
      <w:r w:rsidRPr="00527F3A">
        <w:rPr>
          <w:rFonts w:ascii="Times New Roman" w:hAnsi="Times New Roman" w:cs="Times New Roman"/>
        </w:rPr>
        <w:t xml:space="preserve"> </w:t>
      </w:r>
    </w:p>
    <w:p w14:paraId="6BB1E09B" w14:textId="77777777" w:rsidR="00527F3A" w:rsidRPr="00527F3A" w:rsidRDefault="00527F3A" w:rsidP="00527F3A">
      <w:pPr>
        <w:pStyle w:val="NormalNumbered"/>
        <w:numPr>
          <w:ilvl w:val="1"/>
          <w:numId w:val="37"/>
        </w:numPr>
        <w:rPr>
          <w:rFonts w:ascii="Times New Roman" w:hAnsi="Times New Roman" w:cs="Times New Roman"/>
        </w:rPr>
      </w:pPr>
      <w:r w:rsidRPr="00527F3A">
        <w:rPr>
          <w:rFonts w:ascii="Times New Roman" w:hAnsi="Times New Roman" w:cs="Times New Roman"/>
        </w:rPr>
        <w:t xml:space="preserve">its direct costs of performing its obligations under the Addendum; and/or </w:t>
      </w:r>
    </w:p>
    <w:p w14:paraId="22027892" w14:textId="77777777" w:rsidR="00527F3A" w:rsidRPr="00527F3A" w:rsidRDefault="00527F3A" w:rsidP="00527F3A">
      <w:pPr>
        <w:pStyle w:val="NormalNumbered"/>
        <w:numPr>
          <w:ilvl w:val="1"/>
          <w:numId w:val="37"/>
        </w:numPr>
        <w:rPr>
          <w:rFonts w:ascii="Times New Roman" w:hAnsi="Times New Roman" w:cs="Times New Roman"/>
        </w:rPr>
      </w:pPr>
      <w:r w:rsidRPr="00527F3A">
        <w:rPr>
          <w:rFonts w:ascii="Times New Roman" w:hAnsi="Times New Roman" w:cs="Times New Roman"/>
        </w:rPr>
        <w:lastRenderedPageBreak/>
        <w:t xml:space="preserve">its risk under the Addendum, </w:t>
      </w:r>
    </w:p>
    <w:p w14:paraId="53D83FFF" w14:textId="77777777" w:rsidR="00527F3A" w:rsidRPr="00527F3A" w:rsidRDefault="00527F3A" w:rsidP="00527F3A">
      <w:pPr>
        <w:pStyle w:val="NormalNumbered"/>
        <w:numPr>
          <w:ilvl w:val="0"/>
          <w:numId w:val="0"/>
        </w:numPr>
        <w:ind w:left="454"/>
        <w:rPr>
          <w:rFonts w:ascii="Times New Roman" w:hAnsi="Times New Roman" w:cs="Times New Roman"/>
        </w:rPr>
      </w:pPr>
      <w:r w:rsidRPr="00527F3A">
        <w:rPr>
          <w:rFonts w:ascii="Times New Roman" w:hAnsi="Times New Roman" w:cs="Times New Roman"/>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42"/>
    </w:p>
    <w:p w14:paraId="2A1BF400" w14:textId="77777777" w:rsidR="00527F3A" w:rsidRPr="00527F3A" w:rsidRDefault="00527F3A" w:rsidP="00527F3A">
      <w:pPr>
        <w:pStyle w:val="NormalNumbered"/>
        <w:rPr>
          <w:rFonts w:ascii="Times New Roman" w:hAnsi="Times New Roman" w:cs="Times New Roman"/>
        </w:rPr>
      </w:pPr>
      <w:bookmarkStart w:id="43" w:name="_Ref90906389"/>
      <w:r w:rsidRPr="00527F3A">
        <w:rPr>
          <w:rFonts w:ascii="Times New Roman" w:hAnsi="Times New Roman" w:cs="Times New Roman"/>
        </w:rPr>
        <w:t>The Parties do not need the consent of any third party to make changes to this Addendum, but any changes must be made in accordance with its terms.</w:t>
      </w:r>
      <w:bookmarkEnd w:id="43"/>
    </w:p>
    <w:p w14:paraId="0D6C8017" w14:textId="77777777" w:rsidR="00527F3A" w:rsidRPr="00527F3A" w:rsidRDefault="00527F3A" w:rsidP="00527F3A">
      <w:pPr>
        <w:pStyle w:val="Heading2"/>
        <w:rPr>
          <w:sz w:val="22"/>
          <w:szCs w:val="22"/>
        </w:rPr>
      </w:pPr>
      <w:r w:rsidRPr="00527F3A">
        <w:rPr>
          <w:sz w:val="22"/>
          <w:szCs w:val="22"/>
        </w:rPr>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201"/>
        <w:gridCol w:w="7155"/>
      </w:tblGrid>
      <w:tr w:rsidR="00527F3A" w:rsidRPr="00D20385" w14:paraId="0AC20EE3" w14:textId="77777777" w:rsidTr="002C3C05">
        <w:tc>
          <w:tcPr>
            <w:tcW w:w="1176" w:type="pct"/>
            <w:tcBorders>
              <w:bottom w:val="single" w:sz="18" w:space="0" w:color="FFC000"/>
            </w:tcBorders>
            <w:shd w:val="clear" w:color="auto" w:fill="FFF9DD"/>
          </w:tcPr>
          <w:p w14:paraId="167AAEE7" w14:textId="77777777" w:rsidR="00527F3A" w:rsidRPr="00280288" w:rsidRDefault="00527F3A" w:rsidP="002C3C0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7B947E66" w14:textId="77777777" w:rsidR="00527F3A" w:rsidRPr="0016282B" w:rsidRDefault="00527F3A" w:rsidP="002C3C05">
            <w:pPr>
              <w:pStyle w:val="Body"/>
            </w:pPr>
            <w:r>
              <w:t>Part 2: Mandatory Clauses of the Approved Addendum, being t</w:t>
            </w:r>
            <w:r w:rsidRPr="00873806">
              <w:t xml:space="preserve">he </w:t>
            </w:r>
            <w:r>
              <w:t xml:space="preserve">template </w:t>
            </w:r>
            <w:r w:rsidRPr="00873806">
              <w:t>A</w:t>
            </w:r>
            <w:r>
              <w:t>ddendum</w:t>
            </w:r>
            <w:r w:rsidRPr="00873806">
              <w:t xml:space="preserve"> </w:t>
            </w:r>
            <w:r>
              <w:t xml:space="preserve">B.1.0 issued by the ICO and </w:t>
            </w:r>
            <w:r w:rsidRPr="00873806">
              <w:t>laid before Parliament in accordance with s11</w:t>
            </w:r>
            <w:r>
              <w:t>9</w:t>
            </w:r>
            <w:r w:rsidRPr="00873806">
              <w:t>A of the Data Protection Act 2018</w:t>
            </w:r>
            <w:r>
              <w:t xml:space="preserve"> on 2 February 2022</w:t>
            </w:r>
            <w:r w:rsidRPr="00873806">
              <w:t xml:space="preserve">, as it is revised </w:t>
            </w:r>
            <w:r w:rsidRPr="00407EC3">
              <w:t xml:space="preserve">under </w:t>
            </w:r>
            <w:r w:rsidRPr="00AD536D">
              <w:t xml:space="preserve">Section </w:t>
            </w:r>
            <w:r w:rsidRPr="00AD536D">
              <w:rPr>
                <w:rFonts w:ascii="Arial" w:hAnsi="Arial" w:cs="Arial" w:hint="cs"/>
                <w:cs/>
              </w:rPr>
              <w:t>‎</w:t>
            </w:r>
            <w:r w:rsidRPr="00AD536D">
              <w:fldChar w:fldCharType="begin"/>
            </w:r>
            <w:r w:rsidRPr="00AD536D">
              <w:instrText xml:space="preserve"> REF _Ref90907400 \r \h  \* MERGEFORMAT </w:instrText>
            </w:r>
            <w:r w:rsidRPr="00AD536D">
              <w:fldChar w:fldCharType="separate"/>
            </w:r>
            <w:r w:rsidRPr="00AD536D">
              <w:rPr>
                <w:rFonts w:hint="cs"/>
                <w:cs/>
              </w:rPr>
              <w:t>‎</w:t>
            </w:r>
            <w:r w:rsidRPr="00AD536D">
              <w:t>18</w:t>
            </w:r>
            <w:r w:rsidRPr="00AD536D">
              <w:fldChar w:fldCharType="end"/>
            </w:r>
            <w:r>
              <w:t xml:space="preserve"> </w:t>
            </w:r>
            <w:r w:rsidRPr="00407EC3">
              <w:t>of</w:t>
            </w:r>
            <w:r>
              <w:t xml:space="preserve"> those Mandatory Clauses.</w:t>
            </w:r>
          </w:p>
        </w:tc>
      </w:tr>
    </w:tbl>
    <w:p w14:paraId="51C1C972" w14:textId="77777777" w:rsidR="00527F3A" w:rsidRPr="0016282B" w:rsidRDefault="00527F3A" w:rsidP="00527F3A"/>
    <w:bookmarkEnd w:id="30"/>
    <w:p w14:paraId="1259EFFC" w14:textId="77777777" w:rsidR="00527F3A" w:rsidRDefault="00527F3A" w:rsidP="00527F3A">
      <w:pPr>
        <w:spacing w:after="366"/>
      </w:pPr>
    </w:p>
    <w:p w14:paraId="3F65626F" w14:textId="77777777" w:rsidR="00527F3A" w:rsidRDefault="00527F3A" w:rsidP="00931753">
      <w:pPr>
        <w:pStyle w:val="BodyText"/>
        <w:ind w:firstLine="0"/>
      </w:pPr>
    </w:p>
    <w:sectPr w:rsidR="00527F3A" w:rsidSect="0072246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BF40" w14:textId="77777777" w:rsidR="00537A85" w:rsidRDefault="00537A85" w:rsidP="00B50466">
      <w:r>
        <w:separator/>
      </w:r>
    </w:p>
  </w:endnote>
  <w:endnote w:type="continuationSeparator" w:id="0">
    <w:p w14:paraId="0B4DD4F7" w14:textId="77777777" w:rsidR="00537A85" w:rsidRDefault="00537A85" w:rsidP="00B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0000000000000000000"/>
    <w:charset w:val="00"/>
    <w:family w:val="roman"/>
    <w:notTrueType/>
    <w:pitch w:val="default"/>
    <w:sig w:usb0="0000000B" w:usb1="04270D4C" w:usb2="0062E1B8" w:usb3="30024F95" w:csb0="00791A99" w:csb1="00000009"/>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4" w:name="_iDocIDField043df5c2-5be7-4b83-855b-be21"/>
  <w:p w14:paraId="36A66CBB" w14:textId="77777777" w:rsidR="00847E4B" w:rsidRDefault="00847E4B">
    <w:pPr>
      <w:pStyle w:val="DocID"/>
    </w:pPr>
    <w:r>
      <w:fldChar w:fldCharType="begin"/>
    </w:r>
    <w:r>
      <w:instrText xml:space="preserve">  DOCPROPERTY "CUS_DocIDChunk0" </w:instrText>
    </w:r>
    <w:r>
      <w:fldChar w:fldCharType="separate"/>
    </w:r>
    <w:r>
      <w:rPr>
        <w:noProof/>
      </w:rPr>
      <w:t>64711347 v2</w:t>
    </w:r>
    <w:r>
      <w:fldChar w:fldCharType="end"/>
    </w:r>
    <w:bookmarkEnd w:id="4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33390334" w14:textId="77777777" w:rsidR="00847E4B" w:rsidRDefault="00847E4B" w:rsidP="00CB56AA">
        <w:pPr>
          <w:pStyle w:val="Footer"/>
          <w:jc w:val="center"/>
        </w:pPr>
        <w:r w:rsidRPr="00722461">
          <w:rPr>
            <w:sz w:val="18"/>
          </w:rPr>
          <w:t xml:space="preserve">Page </w:t>
        </w:r>
        <w:r w:rsidRPr="00722461">
          <w:rPr>
            <w:bCs/>
            <w:sz w:val="18"/>
          </w:rPr>
          <w:fldChar w:fldCharType="begin"/>
        </w:r>
        <w:r w:rsidRPr="00722461">
          <w:rPr>
            <w:bCs/>
            <w:sz w:val="18"/>
          </w:rPr>
          <w:instrText xml:space="preserve"> PAGE </w:instrText>
        </w:r>
        <w:r w:rsidRPr="00722461">
          <w:rPr>
            <w:bCs/>
            <w:sz w:val="18"/>
          </w:rPr>
          <w:fldChar w:fldCharType="separate"/>
        </w:r>
        <w:r>
          <w:rPr>
            <w:bCs/>
            <w:sz w:val="18"/>
          </w:rPr>
          <w:t>1</w:t>
        </w:r>
        <w:r w:rsidRPr="00722461">
          <w:rPr>
            <w:bCs/>
            <w:sz w:val="18"/>
          </w:rPr>
          <w:fldChar w:fldCharType="end"/>
        </w:r>
        <w:r w:rsidRPr="00722461">
          <w:rPr>
            <w:sz w:val="18"/>
          </w:rPr>
          <w:t xml:space="preserve"> of </w:t>
        </w:r>
        <w:r w:rsidRPr="00722461">
          <w:rPr>
            <w:bCs/>
            <w:sz w:val="18"/>
          </w:rPr>
          <w:fldChar w:fldCharType="begin"/>
        </w:r>
        <w:r w:rsidRPr="00722461">
          <w:rPr>
            <w:bCs/>
            <w:sz w:val="18"/>
          </w:rPr>
          <w:instrText xml:space="preserve"> NUMPAGES  </w:instrText>
        </w:r>
        <w:r w:rsidRPr="00722461">
          <w:rPr>
            <w:bCs/>
            <w:sz w:val="18"/>
          </w:rPr>
          <w:fldChar w:fldCharType="separate"/>
        </w:r>
        <w:r>
          <w:rPr>
            <w:bCs/>
            <w:sz w:val="18"/>
          </w:rPr>
          <w:t>3</w:t>
        </w:r>
        <w:r w:rsidRPr="00722461">
          <w:rPr>
            <w:bCs/>
            <w:sz w:val="18"/>
          </w:rPr>
          <w:fldChar w:fldCharType="end"/>
        </w:r>
      </w:p>
    </w:sdtContent>
  </w:sdt>
  <w:bookmarkStart w:id="45" w:name="_iDocIDFielda924cf73-96da-493e-b52c-9de3"/>
  <w:p w14:paraId="0A34F210" w14:textId="77777777" w:rsidR="00847E4B" w:rsidRDefault="00847E4B">
    <w:pPr>
      <w:pStyle w:val="DocID"/>
    </w:pPr>
    <w:r>
      <w:fldChar w:fldCharType="begin"/>
    </w:r>
    <w:r>
      <w:instrText xml:space="preserve">  DOCPROPERTY "CUS_DocIDChunk0" </w:instrText>
    </w:r>
    <w:r>
      <w:fldChar w:fldCharType="separate"/>
    </w:r>
    <w:r>
      <w:rPr>
        <w:noProof/>
      </w:rPr>
      <w:t>64711347 v2</w:t>
    </w:r>
    <w:r>
      <w:fldChar w:fldCharType="end"/>
    </w:r>
    <w:bookmarkEnd w:id="4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6" w:name="_iDocIDField9f7f3122-8fce-40f0-8905-f52d"/>
  <w:p w14:paraId="46834F3A" w14:textId="77777777" w:rsidR="00847E4B" w:rsidRDefault="00847E4B">
    <w:pPr>
      <w:pStyle w:val="DocID"/>
    </w:pPr>
    <w:r>
      <w:fldChar w:fldCharType="begin"/>
    </w:r>
    <w:r>
      <w:instrText xml:space="preserve">  DOCPROPERTY "CUS_DocIDChunk0" </w:instrText>
    </w:r>
    <w:r>
      <w:fldChar w:fldCharType="separate"/>
    </w:r>
    <w:r>
      <w:rPr>
        <w:noProof/>
      </w:rPr>
      <w:t>64711347 v2</w:t>
    </w:r>
    <w:r>
      <w:fldChar w:fldCharType="end"/>
    </w:r>
    <w:bookmarkEnd w:id="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34F8" w14:textId="77777777" w:rsidR="00537A85" w:rsidRDefault="00537A85" w:rsidP="00B50466">
      <w:r>
        <w:separator/>
      </w:r>
    </w:p>
  </w:footnote>
  <w:footnote w:type="continuationSeparator" w:id="0">
    <w:p w14:paraId="2E9EB3C7" w14:textId="77777777" w:rsidR="00537A85" w:rsidRDefault="00537A85" w:rsidP="00B5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BDE8" w14:textId="77777777" w:rsidR="00527F3A" w:rsidRDefault="0052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353A" w14:textId="77777777" w:rsidR="00E2398B" w:rsidRDefault="00E2398B">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01B" w14:textId="77777777" w:rsidR="00527F3A" w:rsidRDefault="0052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1B3C78B8"/>
    <w:multiLevelType w:val="multilevel"/>
    <w:tmpl w:val="4156EEE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bCs w:val="0"/>
      </w:r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C556BD5"/>
    <w:multiLevelType w:val="hybridMultilevel"/>
    <w:tmpl w:val="1FA6929A"/>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FA7490">
      <w:start w:val="1"/>
      <w:numFmt w:val="lowerLetter"/>
      <w:lvlText w:val="%2."/>
      <w:lvlJc w:val="left"/>
      <w:pPr>
        <w:ind w:left="108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4C850BD"/>
    <w:multiLevelType w:val="multilevel"/>
    <w:tmpl w:val="E5F0BFFE"/>
    <w:lvl w:ilvl="0">
      <w:start w:val="1"/>
      <w:numFmt w:val="decimal"/>
      <w:lvlText w:val="%1"/>
      <w:lvlJc w:val="left"/>
      <w:pPr>
        <w:ind w:left="432" w:hanging="432"/>
      </w:pPr>
      <w:rPr>
        <w:rFonts w:hint="default"/>
        <w:b/>
      </w:rPr>
    </w:lvl>
    <w:lvl w:ilvl="1">
      <w:start w:val="1"/>
      <w:numFmt w:val="decimal"/>
      <w:lvlText w:val="%1.%2"/>
      <w:lvlJc w:val="left"/>
      <w:pPr>
        <w:ind w:left="576" w:hanging="576"/>
      </w:pPr>
      <w:rPr>
        <w:rFonts w:ascii="Times New Roman" w:hAnsi="Times New Roman" w:cs="Times New Roman" w:hint="default"/>
        <w:b w:val="0"/>
        <w:sz w:val="22"/>
        <w:szCs w:val="22"/>
      </w:rPr>
    </w:lvl>
    <w:lvl w:ilvl="2">
      <w:start w:val="1"/>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BC011DB"/>
    <w:multiLevelType w:val="multilevel"/>
    <w:tmpl w:val="D960B540"/>
    <w:lvl w:ilvl="0">
      <w:start w:val="1"/>
      <w:numFmt w:val="none"/>
      <w:pStyle w:val="Heading1"/>
      <w:suff w:val="nothing"/>
      <w:lvlText w:val=""/>
      <w:lvlJc w:val="left"/>
      <w:pPr>
        <w:ind w:left="0" w:firstLine="0"/>
      </w:pPr>
      <w:rPr>
        <w:strike w:val="0"/>
        <w:dstrike w:val="0"/>
      </w:rPr>
    </w:lvl>
    <w:lvl w:ilvl="1">
      <w:start w:val="1"/>
      <w:numFmt w:val="none"/>
      <w:pStyle w:val="Heading2"/>
      <w:suff w:val="nothing"/>
      <w:lvlText w:val=""/>
      <w:lvlJc w:val="left"/>
      <w:pPr>
        <w:ind w:left="0" w:firstLine="0"/>
      </w:pPr>
      <w:rPr>
        <w:strike w:val="0"/>
        <w:dstrike w:val="0"/>
      </w:rPr>
    </w:lvl>
    <w:lvl w:ilvl="2">
      <w:start w:val="1"/>
      <w:numFmt w:val="none"/>
      <w:pStyle w:val="Heading3"/>
      <w:suff w:val="nothing"/>
      <w:lvlText w:val=""/>
      <w:lvlJc w:val="left"/>
      <w:pPr>
        <w:ind w:left="0" w:firstLine="0"/>
      </w:pPr>
      <w:rPr>
        <w:strike w:val="0"/>
        <w:dstrike w:val="0"/>
      </w:rPr>
    </w:lvl>
    <w:lvl w:ilvl="3">
      <w:start w:val="1"/>
      <w:numFmt w:val="none"/>
      <w:pStyle w:val="Heading4"/>
      <w:suff w:val="nothing"/>
      <w:lvlText w:val=""/>
      <w:lvlJc w:val="left"/>
      <w:pPr>
        <w:ind w:left="0" w:firstLine="0"/>
      </w:pPr>
      <w:rPr>
        <w:strike w:val="0"/>
        <w:dstrike w:val="0"/>
      </w:rPr>
    </w:lvl>
    <w:lvl w:ilvl="4">
      <w:start w:val="1"/>
      <w:numFmt w:val="none"/>
      <w:pStyle w:val="Heading5"/>
      <w:suff w:val="nothing"/>
      <w:lvlText w:val=""/>
      <w:lvlJc w:val="left"/>
      <w:pPr>
        <w:ind w:left="0" w:firstLine="0"/>
      </w:pPr>
      <w:rPr>
        <w:strike w:val="0"/>
        <w:dstrike w:val="0"/>
      </w:rPr>
    </w:lvl>
    <w:lvl w:ilvl="5">
      <w:start w:val="1"/>
      <w:numFmt w:val="none"/>
      <w:pStyle w:val="Heading6"/>
      <w:suff w:val="nothing"/>
      <w:lvlText w:val=""/>
      <w:lvlJc w:val="left"/>
      <w:pPr>
        <w:ind w:left="0" w:firstLine="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abstractNum w:abstractNumId="6" w15:restartNumberingAfterBreak="0">
    <w:nsid w:val="6B880425"/>
    <w:multiLevelType w:val="hybridMultilevel"/>
    <w:tmpl w:val="18BC4ADE"/>
    <w:lvl w:ilvl="0" w:tplc="7596565A">
      <w:start w:val="1"/>
      <w:numFmt w:val="decimal"/>
      <w:pStyle w:val="NormalNumbered"/>
      <w:lvlText w:val="%1."/>
      <w:lvlJc w:val="left"/>
      <w:pPr>
        <w:ind w:left="36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B8140B"/>
    <w:multiLevelType w:val="hybridMultilevel"/>
    <w:tmpl w:val="BA025E76"/>
    <w:lvl w:ilvl="0" w:tplc="5FB4DEAA">
      <w:start w:val="1"/>
      <w:numFmt w:val="lowerLetter"/>
      <w:lvlText w:val="%1."/>
      <w:lvlJc w:val="left"/>
      <w:pPr>
        <w:ind w:left="814"/>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8"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1BA3D56"/>
    <w:multiLevelType w:val="multilevel"/>
    <w:tmpl w:val="DC88EB7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ascii="Times New Roman" w:hAnsi="Times New Roman" w:hint="default"/>
        <w:b w:val="0"/>
        <w:i w:val="0"/>
        <w:sz w:val="22"/>
      </w:rPr>
    </w:lvl>
    <w:lvl w:ilvl="2">
      <w:start w:val="1"/>
      <w:numFmt w:val="decimal"/>
      <w:lvlText w:val="%1.%2.%3."/>
      <w:lvlJc w:val="left"/>
      <w:pPr>
        <w:ind w:left="1800" w:hanging="720"/>
      </w:pPr>
      <w:rPr>
        <w:rFonts w:hint="default"/>
        <w:b w:val="0"/>
        <w:sz w:val="22"/>
      </w:rPr>
    </w:lvl>
    <w:lvl w:ilvl="3">
      <w:start w:val="1"/>
      <w:numFmt w:val="decimal"/>
      <w:lvlText w:val="%1.%2.%3.%4."/>
      <w:lvlJc w:val="left"/>
      <w:pPr>
        <w:ind w:left="288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3252243">
    <w:abstractNumId w:val="5"/>
  </w:num>
  <w:num w:numId="2" w16cid:durableId="1575311595">
    <w:abstractNumId w:val="5"/>
  </w:num>
  <w:num w:numId="3" w16cid:durableId="651181824">
    <w:abstractNumId w:val="5"/>
  </w:num>
  <w:num w:numId="4" w16cid:durableId="2119138170">
    <w:abstractNumId w:val="5"/>
  </w:num>
  <w:num w:numId="5" w16cid:durableId="978681169">
    <w:abstractNumId w:val="5"/>
  </w:num>
  <w:num w:numId="6" w16cid:durableId="1016224654">
    <w:abstractNumId w:val="5"/>
  </w:num>
  <w:num w:numId="7" w16cid:durableId="1319262242">
    <w:abstractNumId w:val="5"/>
  </w:num>
  <w:num w:numId="8" w16cid:durableId="785466531">
    <w:abstractNumId w:val="5"/>
  </w:num>
  <w:num w:numId="9" w16cid:durableId="1191527647">
    <w:abstractNumId w:val="5"/>
  </w:num>
  <w:num w:numId="10" w16cid:durableId="383988500">
    <w:abstractNumId w:val="5"/>
  </w:num>
  <w:num w:numId="11" w16cid:durableId="554901784">
    <w:abstractNumId w:val="4"/>
  </w:num>
  <w:num w:numId="12" w16cid:durableId="1372880219">
    <w:abstractNumId w:val="9"/>
  </w:num>
  <w:num w:numId="13" w16cid:durableId="1909723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7076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3192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667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1813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3047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9781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2196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078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697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7333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2692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1309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7224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4547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143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4066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0708798">
    <w:abstractNumId w:val="1"/>
  </w:num>
  <w:num w:numId="31" w16cid:durableId="208995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3828558">
    <w:abstractNumId w:val="2"/>
  </w:num>
  <w:num w:numId="33" w16cid:durableId="209095471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5596210">
    <w:abstractNumId w:val="7"/>
  </w:num>
  <w:num w:numId="35" w16cid:durableId="1629897147">
    <w:abstractNumId w:val="0"/>
  </w:num>
  <w:num w:numId="36" w16cid:durableId="393966458">
    <w:abstractNumId w:val="8"/>
  </w:num>
  <w:num w:numId="37" w16cid:durableId="1481314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A0256B"/>
    <w:rsid w:val="00010E1F"/>
    <w:rsid w:val="00014E13"/>
    <w:rsid w:val="000414AE"/>
    <w:rsid w:val="0005032E"/>
    <w:rsid w:val="000905FC"/>
    <w:rsid w:val="000A0D13"/>
    <w:rsid w:val="000B65A5"/>
    <w:rsid w:val="0011144F"/>
    <w:rsid w:val="00112531"/>
    <w:rsid w:val="00115DCB"/>
    <w:rsid w:val="001439AD"/>
    <w:rsid w:val="00152EDC"/>
    <w:rsid w:val="00176811"/>
    <w:rsid w:val="00180068"/>
    <w:rsid w:val="001A2AC0"/>
    <w:rsid w:val="001B0609"/>
    <w:rsid w:val="001D462D"/>
    <w:rsid w:val="00220D45"/>
    <w:rsid w:val="00222373"/>
    <w:rsid w:val="00224E49"/>
    <w:rsid w:val="00246C4A"/>
    <w:rsid w:val="00257F27"/>
    <w:rsid w:val="00263B6B"/>
    <w:rsid w:val="002A4003"/>
    <w:rsid w:val="002E10DA"/>
    <w:rsid w:val="002E1B12"/>
    <w:rsid w:val="002E4DAA"/>
    <w:rsid w:val="002F2509"/>
    <w:rsid w:val="002F2EF6"/>
    <w:rsid w:val="0030695F"/>
    <w:rsid w:val="003516D0"/>
    <w:rsid w:val="00356F41"/>
    <w:rsid w:val="00364AD3"/>
    <w:rsid w:val="00374AAB"/>
    <w:rsid w:val="00395B17"/>
    <w:rsid w:val="003961DD"/>
    <w:rsid w:val="003B674C"/>
    <w:rsid w:val="003B7101"/>
    <w:rsid w:val="003C2EBA"/>
    <w:rsid w:val="003C6AB1"/>
    <w:rsid w:val="003D3030"/>
    <w:rsid w:val="003D3FBF"/>
    <w:rsid w:val="003E01DB"/>
    <w:rsid w:val="00400594"/>
    <w:rsid w:val="00407BD0"/>
    <w:rsid w:val="00447D0B"/>
    <w:rsid w:val="004704E7"/>
    <w:rsid w:val="00473105"/>
    <w:rsid w:val="00473FDE"/>
    <w:rsid w:val="00480393"/>
    <w:rsid w:val="00480EB1"/>
    <w:rsid w:val="004E46DE"/>
    <w:rsid w:val="004F631A"/>
    <w:rsid w:val="00524E12"/>
    <w:rsid w:val="00527F3A"/>
    <w:rsid w:val="00537A85"/>
    <w:rsid w:val="005464DA"/>
    <w:rsid w:val="00562509"/>
    <w:rsid w:val="00565063"/>
    <w:rsid w:val="00590059"/>
    <w:rsid w:val="005E3DC1"/>
    <w:rsid w:val="005F0534"/>
    <w:rsid w:val="005F44C5"/>
    <w:rsid w:val="006037C8"/>
    <w:rsid w:val="00617A18"/>
    <w:rsid w:val="0062588A"/>
    <w:rsid w:val="00635961"/>
    <w:rsid w:val="00640426"/>
    <w:rsid w:val="00652171"/>
    <w:rsid w:val="00654E2E"/>
    <w:rsid w:val="00685AF7"/>
    <w:rsid w:val="006C4978"/>
    <w:rsid w:val="006F766F"/>
    <w:rsid w:val="00722461"/>
    <w:rsid w:val="00725283"/>
    <w:rsid w:val="007343D0"/>
    <w:rsid w:val="00747843"/>
    <w:rsid w:val="00784EC2"/>
    <w:rsid w:val="00787BA5"/>
    <w:rsid w:val="007A1937"/>
    <w:rsid w:val="007A5DDE"/>
    <w:rsid w:val="007C420D"/>
    <w:rsid w:val="007C5559"/>
    <w:rsid w:val="007C7410"/>
    <w:rsid w:val="007F36CE"/>
    <w:rsid w:val="008014A3"/>
    <w:rsid w:val="00801EC3"/>
    <w:rsid w:val="00847E4B"/>
    <w:rsid w:val="00873598"/>
    <w:rsid w:val="00885D43"/>
    <w:rsid w:val="00887B80"/>
    <w:rsid w:val="008D25F6"/>
    <w:rsid w:val="008D6EAC"/>
    <w:rsid w:val="008E682D"/>
    <w:rsid w:val="009032EA"/>
    <w:rsid w:val="00907F2B"/>
    <w:rsid w:val="00931753"/>
    <w:rsid w:val="00966D8E"/>
    <w:rsid w:val="009862AD"/>
    <w:rsid w:val="009950A4"/>
    <w:rsid w:val="009B5606"/>
    <w:rsid w:val="009C1D1F"/>
    <w:rsid w:val="00A0256B"/>
    <w:rsid w:val="00A0628D"/>
    <w:rsid w:val="00A14C07"/>
    <w:rsid w:val="00A1563C"/>
    <w:rsid w:val="00A315A7"/>
    <w:rsid w:val="00A43A2C"/>
    <w:rsid w:val="00A46629"/>
    <w:rsid w:val="00A46900"/>
    <w:rsid w:val="00A61581"/>
    <w:rsid w:val="00A677EF"/>
    <w:rsid w:val="00A74D64"/>
    <w:rsid w:val="00A87A5A"/>
    <w:rsid w:val="00A900E3"/>
    <w:rsid w:val="00A9177E"/>
    <w:rsid w:val="00AA3A07"/>
    <w:rsid w:val="00AA57FA"/>
    <w:rsid w:val="00AC2500"/>
    <w:rsid w:val="00AD1EB8"/>
    <w:rsid w:val="00AE1992"/>
    <w:rsid w:val="00AF2D67"/>
    <w:rsid w:val="00B13AE5"/>
    <w:rsid w:val="00B4096A"/>
    <w:rsid w:val="00B50466"/>
    <w:rsid w:val="00B52D94"/>
    <w:rsid w:val="00B6084D"/>
    <w:rsid w:val="00B610AE"/>
    <w:rsid w:val="00B82DD5"/>
    <w:rsid w:val="00B8559F"/>
    <w:rsid w:val="00C04B04"/>
    <w:rsid w:val="00C0637D"/>
    <w:rsid w:val="00C118C2"/>
    <w:rsid w:val="00C25B0E"/>
    <w:rsid w:val="00C356E2"/>
    <w:rsid w:val="00C64153"/>
    <w:rsid w:val="00CB28F2"/>
    <w:rsid w:val="00CC3D70"/>
    <w:rsid w:val="00CF4FE3"/>
    <w:rsid w:val="00CF7A4E"/>
    <w:rsid w:val="00D47159"/>
    <w:rsid w:val="00D7661E"/>
    <w:rsid w:val="00D8090C"/>
    <w:rsid w:val="00D83D79"/>
    <w:rsid w:val="00D85A86"/>
    <w:rsid w:val="00D938A4"/>
    <w:rsid w:val="00DA2E31"/>
    <w:rsid w:val="00DA56A7"/>
    <w:rsid w:val="00DA63F0"/>
    <w:rsid w:val="00DB555D"/>
    <w:rsid w:val="00DB7D1F"/>
    <w:rsid w:val="00DF3D16"/>
    <w:rsid w:val="00E2398B"/>
    <w:rsid w:val="00E35FEA"/>
    <w:rsid w:val="00E44A45"/>
    <w:rsid w:val="00E53107"/>
    <w:rsid w:val="00E56500"/>
    <w:rsid w:val="00EA1082"/>
    <w:rsid w:val="00EC210E"/>
    <w:rsid w:val="00ED0B86"/>
    <w:rsid w:val="00EE3E1E"/>
    <w:rsid w:val="00EF0EF3"/>
    <w:rsid w:val="00F01B6A"/>
    <w:rsid w:val="00F23E27"/>
    <w:rsid w:val="00F34F45"/>
    <w:rsid w:val="00F75FE4"/>
    <w:rsid w:val="00F82392"/>
    <w:rsid w:val="00FD7D56"/>
    <w:rsid w:val="00FE3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7BCE"/>
  <w15:chartTrackingRefBased/>
  <w15:docId w15:val="{7C0BA0C4-F610-4BDC-A534-59D75B1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462D"/>
    <w:rPr>
      <w:sz w:val="24"/>
      <w:szCs w:val="24"/>
    </w:rPr>
  </w:style>
  <w:style w:type="paragraph" w:styleId="Heading1">
    <w:name w:val="heading 1"/>
    <w:basedOn w:val="Normal"/>
    <w:next w:val="BodyText"/>
    <w:link w:val="Heading1Char"/>
    <w:uiPriority w:val="9"/>
    <w:qFormat/>
    <w:rsid w:val="001D462D"/>
    <w:pPr>
      <w:keepNext/>
      <w:numPr>
        <w:numId w:val="10"/>
      </w:numPr>
      <w:spacing w:after="240"/>
      <w:jc w:val="both"/>
      <w:outlineLvl w:val="0"/>
    </w:pPr>
    <w:rPr>
      <w:rFonts w:eastAsia="Times New Roman"/>
      <w:bCs/>
    </w:rPr>
  </w:style>
  <w:style w:type="paragraph" w:styleId="Heading2">
    <w:name w:val="heading 2"/>
    <w:basedOn w:val="Normal"/>
    <w:next w:val="BodyText"/>
    <w:link w:val="Heading2Char"/>
    <w:uiPriority w:val="9"/>
    <w:unhideWhenUsed/>
    <w:qFormat/>
    <w:rsid w:val="001D462D"/>
    <w:pPr>
      <w:numPr>
        <w:ilvl w:val="1"/>
        <w:numId w:val="10"/>
      </w:numPr>
      <w:spacing w:after="240"/>
      <w:jc w:val="both"/>
      <w:outlineLvl w:val="1"/>
    </w:pPr>
    <w:rPr>
      <w:rFonts w:eastAsia="Times New Roman"/>
      <w:bCs/>
      <w:iCs/>
    </w:rPr>
  </w:style>
  <w:style w:type="paragraph" w:styleId="Heading3">
    <w:name w:val="heading 3"/>
    <w:basedOn w:val="Normal"/>
    <w:next w:val="BodyText"/>
    <w:link w:val="Heading3Char"/>
    <w:uiPriority w:val="9"/>
    <w:unhideWhenUsed/>
    <w:qFormat/>
    <w:rsid w:val="001D462D"/>
    <w:pPr>
      <w:numPr>
        <w:ilvl w:val="2"/>
        <w:numId w:val="10"/>
      </w:numPr>
      <w:spacing w:after="240"/>
      <w:jc w:val="both"/>
      <w:outlineLvl w:val="2"/>
    </w:pPr>
    <w:rPr>
      <w:rFonts w:eastAsia="Times New Roman"/>
      <w:bCs/>
    </w:rPr>
  </w:style>
  <w:style w:type="paragraph" w:styleId="Heading4">
    <w:name w:val="heading 4"/>
    <w:basedOn w:val="Normal"/>
    <w:next w:val="BodyText"/>
    <w:link w:val="Heading4Char"/>
    <w:unhideWhenUsed/>
    <w:qFormat/>
    <w:rsid w:val="001D462D"/>
    <w:pPr>
      <w:numPr>
        <w:ilvl w:val="3"/>
        <w:numId w:val="10"/>
      </w:numPr>
      <w:spacing w:after="240"/>
      <w:jc w:val="both"/>
      <w:outlineLvl w:val="3"/>
    </w:pPr>
    <w:rPr>
      <w:rFonts w:eastAsia="Times New Roman"/>
      <w:bCs/>
      <w:szCs w:val="28"/>
    </w:rPr>
  </w:style>
  <w:style w:type="paragraph" w:styleId="Heading5">
    <w:name w:val="heading 5"/>
    <w:basedOn w:val="Normal"/>
    <w:next w:val="BodyText"/>
    <w:link w:val="Heading5Char"/>
    <w:uiPriority w:val="9"/>
    <w:unhideWhenUsed/>
    <w:qFormat/>
    <w:rsid w:val="001D462D"/>
    <w:pPr>
      <w:numPr>
        <w:ilvl w:val="4"/>
        <w:numId w:val="10"/>
      </w:numPr>
      <w:spacing w:after="240"/>
      <w:jc w:val="both"/>
      <w:outlineLvl w:val="4"/>
    </w:pPr>
  </w:style>
  <w:style w:type="paragraph" w:styleId="Heading6">
    <w:name w:val="heading 6"/>
    <w:basedOn w:val="Normal"/>
    <w:next w:val="BodyText"/>
    <w:link w:val="Heading6Char"/>
    <w:uiPriority w:val="9"/>
    <w:unhideWhenUsed/>
    <w:qFormat/>
    <w:rsid w:val="001D462D"/>
    <w:pPr>
      <w:numPr>
        <w:ilvl w:val="5"/>
        <w:numId w:val="10"/>
      </w:numPr>
      <w:spacing w:after="240"/>
      <w:jc w:val="both"/>
      <w:outlineLvl w:val="5"/>
    </w:pPr>
  </w:style>
  <w:style w:type="paragraph" w:styleId="Heading7">
    <w:name w:val="heading 7"/>
    <w:basedOn w:val="Normal"/>
    <w:next w:val="BodyText"/>
    <w:link w:val="Heading7Char"/>
    <w:uiPriority w:val="9"/>
    <w:unhideWhenUsed/>
    <w:qFormat/>
    <w:rsid w:val="001D462D"/>
    <w:pPr>
      <w:numPr>
        <w:ilvl w:val="6"/>
        <w:numId w:val="10"/>
      </w:numPr>
      <w:spacing w:after="240"/>
      <w:jc w:val="both"/>
      <w:outlineLvl w:val="6"/>
    </w:pPr>
    <w:rPr>
      <w:iCs/>
    </w:rPr>
  </w:style>
  <w:style w:type="paragraph" w:styleId="Heading8">
    <w:name w:val="heading 8"/>
    <w:basedOn w:val="Normal"/>
    <w:next w:val="BodyText"/>
    <w:link w:val="Heading8Char"/>
    <w:uiPriority w:val="9"/>
    <w:unhideWhenUsed/>
    <w:qFormat/>
    <w:rsid w:val="001D462D"/>
    <w:pPr>
      <w:numPr>
        <w:ilvl w:val="7"/>
        <w:numId w:val="10"/>
      </w:numPr>
      <w:spacing w:after="240"/>
      <w:jc w:val="both"/>
      <w:outlineLvl w:val="7"/>
    </w:pPr>
    <w:rPr>
      <w:color w:val="272727"/>
      <w:szCs w:val="21"/>
    </w:rPr>
  </w:style>
  <w:style w:type="paragraph" w:styleId="Heading9">
    <w:name w:val="heading 9"/>
    <w:basedOn w:val="Normal"/>
    <w:next w:val="BodyText"/>
    <w:link w:val="Heading9Char"/>
    <w:uiPriority w:val="9"/>
    <w:unhideWhenUsed/>
    <w:qFormat/>
    <w:rsid w:val="001D462D"/>
    <w:pPr>
      <w:numPr>
        <w:ilvl w:val="8"/>
        <w:numId w:val="1"/>
      </w:numPr>
      <w:spacing w:after="240"/>
      <w:jc w:val="both"/>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462D"/>
    <w:rPr>
      <w:rFonts w:eastAsia="Times New Roman"/>
      <w:bCs/>
    </w:rPr>
  </w:style>
  <w:style w:type="character" w:customStyle="1" w:styleId="Heading2Char">
    <w:name w:val="Heading 2 Char"/>
    <w:link w:val="Heading2"/>
    <w:uiPriority w:val="9"/>
    <w:rsid w:val="001D462D"/>
    <w:rPr>
      <w:rFonts w:eastAsia="Times New Roman"/>
      <w:bCs/>
      <w:iCs/>
    </w:rPr>
  </w:style>
  <w:style w:type="character" w:customStyle="1" w:styleId="Heading3Char">
    <w:name w:val="Heading 3 Char"/>
    <w:link w:val="Heading3"/>
    <w:uiPriority w:val="9"/>
    <w:rsid w:val="001D462D"/>
    <w:rPr>
      <w:rFonts w:eastAsia="Times New Roman"/>
      <w:bCs/>
    </w:rPr>
  </w:style>
  <w:style w:type="character" w:customStyle="1" w:styleId="Heading4Char">
    <w:name w:val="Heading 4 Char"/>
    <w:link w:val="Heading4"/>
    <w:rsid w:val="001D462D"/>
    <w:rPr>
      <w:rFonts w:eastAsia="Times New Roman"/>
      <w:bCs/>
      <w:szCs w:val="28"/>
    </w:rPr>
  </w:style>
  <w:style w:type="paragraph" w:styleId="Header">
    <w:name w:val="header"/>
    <w:basedOn w:val="Normal"/>
    <w:link w:val="HeaderChar"/>
    <w:uiPriority w:val="2"/>
    <w:rsid w:val="00F82392"/>
    <w:pPr>
      <w:tabs>
        <w:tab w:val="center" w:pos="4320"/>
        <w:tab w:val="right" w:pos="8640"/>
      </w:tabs>
    </w:pPr>
    <w:rPr>
      <w:rFonts w:eastAsia="Times New Roman"/>
    </w:rPr>
  </w:style>
  <w:style w:type="character" w:customStyle="1" w:styleId="HeaderChar">
    <w:name w:val="Header Char"/>
    <w:link w:val="Header"/>
    <w:uiPriority w:val="2"/>
    <w:rsid w:val="00F82392"/>
    <w:rPr>
      <w:rFonts w:eastAsia="Times New Roman"/>
    </w:rPr>
  </w:style>
  <w:style w:type="paragraph" w:styleId="Footer">
    <w:name w:val="footer"/>
    <w:basedOn w:val="Normal"/>
    <w:link w:val="FooterChar"/>
    <w:uiPriority w:val="99"/>
    <w:rsid w:val="00F82392"/>
    <w:pPr>
      <w:tabs>
        <w:tab w:val="center" w:pos="4320"/>
        <w:tab w:val="right" w:pos="8640"/>
      </w:tabs>
    </w:pPr>
    <w:rPr>
      <w:rFonts w:eastAsia="Times New Roman"/>
    </w:rPr>
  </w:style>
  <w:style w:type="character" w:customStyle="1" w:styleId="FooterChar">
    <w:name w:val="Footer Char"/>
    <w:link w:val="Footer"/>
    <w:uiPriority w:val="99"/>
    <w:rsid w:val="00F82392"/>
    <w:rPr>
      <w:rFonts w:eastAsia="Times New Roman"/>
    </w:rPr>
  </w:style>
  <w:style w:type="paragraph" w:styleId="Caption">
    <w:name w:val="caption"/>
    <w:basedOn w:val="Normal"/>
    <w:next w:val="Normal"/>
    <w:uiPriority w:val="1"/>
    <w:qFormat/>
    <w:rsid w:val="001D462D"/>
    <w:pPr>
      <w:spacing w:before="120" w:after="120"/>
    </w:pPr>
    <w:rPr>
      <w:rFonts w:eastAsia="Times New Roman"/>
      <w:b/>
      <w:bCs/>
    </w:rPr>
  </w:style>
  <w:style w:type="paragraph" w:styleId="Title">
    <w:name w:val="Title"/>
    <w:basedOn w:val="Normal"/>
    <w:link w:val="TitleChar"/>
    <w:qFormat/>
    <w:rsid w:val="001D462D"/>
    <w:pPr>
      <w:spacing w:after="240"/>
      <w:jc w:val="center"/>
      <w:outlineLvl w:val="0"/>
    </w:pPr>
    <w:rPr>
      <w:rFonts w:eastAsia="Times New Roman" w:cs="Arial"/>
      <w:b/>
      <w:bCs/>
      <w:kern w:val="28"/>
      <w:szCs w:val="32"/>
    </w:rPr>
  </w:style>
  <w:style w:type="character" w:customStyle="1" w:styleId="TitleChar">
    <w:name w:val="Title Char"/>
    <w:link w:val="Title"/>
    <w:rsid w:val="001D462D"/>
    <w:rPr>
      <w:rFonts w:eastAsia="Times New Roman" w:cs="Arial"/>
      <w:b/>
      <w:bCs/>
      <w:kern w:val="28"/>
      <w:szCs w:val="32"/>
    </w:rPr>
  </w:style>
  <w:style w:type="paragraph" w:styleId="BodyText">
    <w:name w:val="Body Text"/>
    <w:basedOn w:val="Normal"/>
    <w:link w:val="BodyTextChar"/>
    <w:qFormat/>
    <w:rsid w:val="001D462D"/>
    <w:pPr>
      <w:spacing w:after="240"/>
      <w:ind w:firstLine="720"/>
    </w:pPr>
    <w:rPr>
      <w:rFonts w:eastAsia="Times New Roman"/>
    </w:rPr>
  </w:style>
  <w:style w:type="character" w:customStyle="1" w:styleId="BodyTextChar">
    <w:name w:val="Body Text Char"/>
    <w:link w:val="BodyText"/>
    <w:rsid w:val="001D462D"/>
    <w:rPr>
      <w:rFonts w:eastAsia="Times New Roman"/>
    </w:rPr>
  </w:style>
  <w:style w:type="paragraph" w:styleId="Subtitle">
    <w:name w:val="Subtitle"/>
    <w:basedOn w:val="Normal"/>
    <w:link w:val="SubtitleChar"/>
    <w:uiPriority w:val="1"/>
    <w:qFormat/>
    <w:rsid w:val="001D462D"/>
    <w:pPr>
      <w:spacing w:after="240"/>
      <w:jc w:val="center"/>
      <w:outlineLvl w:val="1"/>
    </w:pPr>
    <w:rPr>
      <w:rFonts w:eastAsia="Times New Roman" w:cs="Arial"/>
    </w:rPr>
  </w:style>
  <w:style w:type="character" w:customStyle="1" w:styleId="SubtitleChar">
    <w:name w:val="Subtitle Char"/>
    <w:link w:val="Subtitle"/>
    <w:uiPriority w:val="1"/>
    <w:rsid w:val="001D462D"/>
    <w:rPr>
      <w:rFonts w:eastAsia="Times New Roman" w:cs="Arial"/>
    </w:rPr>
  </w:style>
  <w:style w:type="paragraph" w:styleId="BlockText">
    <w:name w:val="Block Text"/>
    <w:basedOn w:val="Normal"/>
    <w:uiPriority w:val="1"/>
    <w:qFormat/>
    <w:rsid w:val="001D462D"/>
    <w:pPr>
      <w:spacing w:after="240"/>
    </w:pPr>
    <w:rPr>
      <w:rFonts w:eastAsia="Times New Roman"/>
    </w:rPr>
  </w:style>
  <w:style w:type="character" w:styleId="Strong">
    <w:name w:val="Strong"/>
    <w:uiPriority w:val="22"/>
    <w:qFormat/>
    <w:rsid w:val="001D462D"/>
    <w:rPr>
      <w:b/>
      <w:bCs/>
    </w:rPr>
  </w:style>
  <w:style w:type="character" w:styleId="Emphasis">
    <w:name w:val="Emphasis"/>
    <w:uiPriority w:val="20"/>
    <w:qFormat/>
    <w:rsid w:val="001D462D"/>
    <w:rPr>
      <w:i/>
      <w:iCs/>
    </w:rPr>
  </w:style>
  <w:style w:type="paragraph" w:customStyle="1" w:styleId="BlockQuote">
    <w:name w:val="Block Quote"/>
    <w:basedOn w:val="Normal"/>
    <w:uiPriority w:val="1"/>
    <w:qFormat/>
    <w:rsid w:val="001D462D"/>
    <w:pPr>
      <w:spacing w:after="240"/>
      <w:ind w:left="1440" w:right="1440"/>
    </w:pPr>
    <w:rPr>
      <w:rFonts w:eastAsia="Times New Roman" w:cs="Courier New"/>
    </w:rPr>
  </w:style>
  <w:style w:type="paragraph" w:customStyle="1" w:styleId="BlockQuote75">
    <w:name w:val="Block Quote .75"/>
    <w:basedOn w:val="Normal"/>
    <w:uiPriority w:val="1"/>
    <w:rsid w:val="00F82392"/>
    <w:pPr>
      <w:spacing w:after="240"/>
      <w:ind w:left="1080" w:right="1080"/>
    </w:pPr>
    <w:rPr>
      <w:rFonts w:eastAsia="Times New Roman" w:cs="Courier New"/>
    </w:rPr>
  </w:style>
  <w:style w:type="paragraph" w:customStyle="1" w:styleId="BlockQuoteDouble">
    <w:name w:val="Block Quote Double"/>
    <w:basedOn w:val="Normal"/>
    <w:uiPriority w:val="1"/>
    <w:rsid w:val="00F82392"/>
    <w:pPr>
      <w:spacing w:line="480" w:lineRule="auto"/>
      <w:ind w:left="1440" w:right="1440"/>
    </w:pPr>
    <w:rPr>
      <w:rFonts w:eastAsia="Times New Roman"/>
    </w:rPr>
  </w:style>
  <w:style w:type="paragraph" w:customStyle="1" w:styleId="BlockTextDouble">
    <w:name w:val="Block Text Double"/>
    <w:basedOn w:val="Normal"/>
    <w:uiPriority w:val="1"/>
    <w:rsid w:val="00F82392"/>
    <w:pPr>
      <w:spacing w:line="480" w:lineRule="auto"/>
    </w:pPr>
    <w:rPr>
      <w:rFonts w:eastAsia="Times New Roman" w:cs="Courier New"/>
    </w:rPr>
  </w:style>
  <w:style w:type="paragraph" w:customStyle="1" w:styleId="BlockTextJustified">
    <w:name w:val="Block Text Justified"/>
    <w:basedOn w:val="Normal"/>
    <w:uiPriority w:val="1"/>
    <w:rsid w:val="00F82392"/>
    <w:pPr>
      <w:spacing w:after="240"/>
      <w:jc w:val="both"/>
    </w:pPr>
    <w:rPr>
      <w:rFonts w:eastAsia="Times New Roman" w:cs="Courier New"/>
    </w:rPr>
  </w:style>
  <w:style w:type="paragraph" w:customStyle="1" w:styleId="BodyTextDouble">
    <w:name w:val="Body Text Double"/>
    <w:basedOn w:val="Normal"/>
    <w:rsid w:val="00F82392"/>
    <w:pPr>
      <w:spacing w:line="480" w:lineRule="auto"/>
      <w:ind w:firstLine="720"/>
    </w:pPr>
    <w:rPr>
      <w:rFonts w:eastAsia="Times New Roman" w:cs="Courier New"/>
    </w:rPr>
  </w:style>
  <w:style w:type="character" w:customStyle="1" w:styleId="Citation">
    <w:name w:val="Citation"/>
    <w:uiPriority w:val="1"/>
    <w:rsid w:val="00F82392"/>
    <w:rPr>
      <w:u w:val="single"/>
    </w:rPr>
  </w:style>
  <w:style w:type="paragraph" w:customStyle="1" w:styleId="FootnoteQuote">
    <w:name w:val="Footnote Quote"/>
    <w:basedOn w:val="FootnoteText"/>
    <w:uiPriority w:val="1"/>
    <w:rsid w:val="00F82392"/>
    <w:pPr>
      <w:spacing w:after="240"/>
      <w:ind w:left="1080" w:right="1080"/>
    </w:pPr>
    <w:rPr>
      <w:rFonts w:eastAsia="Times New Roman"/>
    </w:rPr>
  </w:style>
  <w:style w:type="paragraph" w:styleId="FootnoteText">
    <w:name w:val="footnote text"/>
    <w:basedOn w:val="Normal"/>
    <w:link w:val="FootnoteTextChar"/>
    <w:uiPriority w:val="99"/>
    <w:rsid w:val="00B50466"/>
    <w:rPr>
      <w:sz w:val="20"/>
    </w:rPr>
  </w:style>
  <w:style w:type="character" w:customStyle="1" w:styleId="FootnoteTextChar">
    <w:name w:val="Footnote Text Char"/>
    <w:link w:val="FootnoteText"/>
    <w:uiPriority w:val="99"/>
    <w:rsid w:val="00B50466"/>
    <w:rPr>
      <w:rFonts w:eastAsia="Calibri"/>
      <w:sz w:val="20"/>
    </w:rPr>
  </w:style>
  <w:style w:type="paragraph" w:customStyle="1" w:styleId="Title1">
    <w:name w:val="Title 1"/>
    <w:basedOn w:val="Normal"/>
    <w:uiPriority w:val="2"/>
    <w:rsid w:val="00F82392"/>
    <w:pPr>
      <w:spacing w:after="240"/>
      <w:jc w:val="center"/>
    </w:pPr>
    <w:rPr>
      <w:rFonts w:eastAsia="Times New Roman" w:cs="Courier New"/>
      <w:b/>
      <w:caps/>
    </w:rPr>
  </w:style>
  <w:style w:type="paragraph" w:customStyle="1" w:styleId="Title2">
    <w:name w:val="Title 2"/>
    <w:basedOn w:val="Title"/>
    <w:uiPriority w:val="2"/>
    <w:rsid w:val="00F82392"/>
    <w:rPr>
      <w:b w:val="0"/>
      <w:u w:val="single"/>
    </w:rPr>
  </w:style>
  <w:style w:type="paragraph" w:styleId="Quote">
    <w:name w:val="Quote"/>
    <w:basedOn w:val="Normal"/>
    <w:next w:val="Normal"/>
    <w:link w:val="QuoteChar"/>
    <w:uiPriority w:val="1"/>
    <w:qFormat/>
    <w:rsid w:val="001D462D"/>
    <w:rPr>
      <w:rFonts w:eastAsia="Times New Roman"/>
      <w:i/>
      <w:iCs/>
      <w:color w:val="000000"/>
    </w:rPr>
  </w:style>
  <w:style w:type="character" w:customStyle="1" w:styleId="QuoteChar">
    <w:name w:val="Quote Char"/>
    <w:link w:val="Quote"/>
    <w:uiPriority w:val="1"/>
    <w:rsid w:val="001D462D"/>
    <w:rPr>
      <w:rFonts w:eastAsia="Times New Roman"/>
      <w:i/>
      <w:iCs/>
      <w:color w:val="000000"/>
    </w:rPr>
  </w:style>
  <w:style w:type="character" w:styleId="FootnoteReference">
    <w:name w:val="footnote reference"/>
    <w:uiPriority w:val="99"/>
    <w:semiHidden/>
    <w:unhideWhenUsed/>
    <w:rsid w:val="00B50466"/>
    <w:rPr>
      <w:vertAlign w:val="superscript"/>
    </w:rPr>
  </w:style>
  <w:style w:type="character" w:customStyle="1" w:styleId="Heading5Char">
    <w:name w:val="Heading 5 Char"/>
    <w:link w:val="Heading5"/>
    <w:uiPriority w:val="9"/>
    <w:rsid w:val="001D462D"/>
    <w:rPr>
      <w:rFonts w:eastAsia="SimSun" w:cs="Times New Roman"/>
    </w:rPr>
  </w:style>
  <w:style w:type="character" w:customStyle="1" w:styleId="Heading6Char">
    <w:name w:val="Heading 6 Char"/>
    <w:link w:val="Heading6"/>
    <w:uiPriority w:val="9"/>
    <w:rsid w:val="001D462D"/>
    <w:rPr>
      <w:rFonts w:eastAsia="SimSun" w:cs="Times New Roman"/>
    </w:rPr>
  </w:style>
  <w:style w:type="character" w:customStyle="1" w:styleId="Heading7Char">
    <w:name w:val="Heading 7 Char"/>
    <w:link w:val="Heading7"/>
    <w:uiPriority w:val="9"/>
    <w:rsid w:val="001D462D"/>
    <w:rPr>
      <w:rFonts w:eastAsia="SimSun" w:cs="Times New Roman"/>
      <w:iCs/>
    </w:rPr>
  </w:style>
  <w:style w:type="character" w:customStyle="1" w:styleId="Heading8Char">
    <w:name w:val="Heading 8 Char"/>
    <w:link w:val="Heading8"/>
    <w:uiPriority w:val="9"/>
    <w:rsid w:val="001D462D"/>
    <w:rPr>
      <w:rFonts w:eastAsia="SimSun" w:cs="Times New Roman"/>
      <w:color w:val="272727"/>
      <w:szCs w:val="21"/>
    </w:rPr>
  </w:style>
  <w:style w:type="character" w:customStyle="1" w:styleId="Heading9Char">
    <w:name w:val="Heading 9 Char"/>
    <w:link w:val="Heading9"/>
    <w:uiPriority w:val="9"/>
    <w:rsid w:val="001D462D"/>
    <w:rPr>
      <w:rFonts w:eastAsia="SimSun" w:cs="Times New Roman"/>
      <w:iCs/>
      <w:szCs w:val="21"/>
    </w:rPr>
  </w:style>
  <w:style w:type="numbering" w:customStyle="1" w:styleId="NoList1">
    <w:name w:val="No List1"/>
    <w:next w:val="NoList"/>
    <w:uiPriority w:val="99"/>
    <w:semiHidden/>
    <w:unhideWhenUsed/>
    <w:rsid w:val="00A0256B"/>
  </w:style>
  <w:style w:type="character" w:styleId="CommentReference">
    <w:name w:val="annotation reference"/>
    <w:uiPriority w:val="99"/>
    <w:semiHidden/>
    <w:unhideWhenUsed/>
    <w:rsid w:val="00A0256B"/>
    <w:rPr>
      <w:sz w:val="16"/>
      <w:szCs w:val="16"/>
    </w:rPr>
  </w:style>
  <w:style w:type="paragraph" w:styleId="CommentText">
    <w:name w:val="annotation text"/>
    <w:basedOn w:val="Normal"/>
    <w:link w:val="CommentTextChar"/>
    <w:uiPriority w:val="99"/>
    <w:semiHidden/>
    <w:unhideWhenUsed/>
    <w:rsid w:val="00A0256B"/>
    <w:rPr>
      <w:rFonts w:eastAsia="MS Mincho"/>
      <w:sz w:val="20"/>
      <w:szCs w:val="20"/>
      <w:lang w:eastAsia="ja-JP"/>
    </w:rPr>
  </w:style>
  <w:style w:type="character" w:customStyle="1" w:styleId="CommentTextChar">
    <w:name w:val="Comment Text Char"/>
    <w:link w:val="CommentText"/>
    <w:uiPriority w:val="99"/>
    <w:semiHidden/>
    <w:rsid w:val="00A0256B"/>
    <w:rPr>
      <w:rFonts w:eastAsia="MS Mincho"/>
      <w:sz w:val="20"/>
      <w:szCs w:val="20"/>
      <w:lang w:eastAsia="ja-JP"/>
    </w:rPr>
  </w:style>
  <w:style w:type="paragraph" w:styleId="CommentSubject">
    <w:name w:val="annotation subject"/>
    <w:basedOn w:val="CommentText"/>
    <w:next w:val="CommentText"/>
    <w:link w:val="CommentSubjectChar"/>
    <w:uiPriority w:val="99"/>
    <w:semiHidden/>
    <w:unhideWhenUsed/>
    <w:rsid w:val="00A0256B"/>
    <w:rPr>
      <w:b/>
      <w:bCs/>
    </w:rPr>
  </w:style>
  <w:style w:type="character" w:customStyle="1" w:styleId="CommentSubjectChar">
    <w:name w:val="Comment Subject Char"/>
    <w:link w:val="CommentSubject"/>
    <w:uiPriority w:val="99"/>
    <w:semiHidden/>
    <w:rsid w:val="00A0256B"/>
    <w:rPr>
      <w:rFonts w:eastAsia="MS Mincho"/>
      <w:b/>
      <w:bCs/>
      <w:sz w:val="20"/>
      <w:szCs w:val="20"/>
      <w:lang w:eastAsia="ja-JP"/>
    </w:rPr>
  </w:style>
  <w:style w:type="paragraph" w:styleId="BalloonText">
    <w:name w:val="Balloon Text"/>
    <w:basedOn w:val="Normal"/>
    <w:link w:val="BalloonTextChar"/>
    <w:uiPriority w:val="99"/>
    <w:semiHidden/>
    <w:unhideWhenUsed/>
    <w:rsid w:val="00A0256B"/>
    <w:rPr>
      <w:rFonts w:ascii="Arial" w:eastAsia="MS Mincho" w:hAnsi="Arial" w:cs="Arial"/>
      <w:sz w:val="16"/>
      <w:szCs w:val="16"/>
      <w:lang w:eastAsia="ja-JP"/>
    </w:rPr>
  </w:style>
  <w:style w:type="character" w:customStyle="1" w:styleId="BalloonTextChar">
    <w:name w:val="Balloon Text Char"/>
    <w:link w:val="BalloonText"/>
    <w:uiPriority w:val="99"/>
    <w:semiHidden/>
    <w:rsid w:val="00A0256B"/>
    <w:rPr>
      <w:rFonts w:ascii="Arial" w:eastAsia="MS Mincho" w:hAnsi="Arial" w:cs="Arial"/>
      <w:sz w:val="16"/>
      <w:szCs w:val="16"/>
      <w:lang w:eastAsia="ja-JP"/>
    </w:rPr>
  </w:style>
  <w:style w:type="character" w:styleId="Hyperlink">
    <w:name w:val="Hyperlink"/>
    <w:uiPriority w:val="99"/>
    <w:unhideWhenUsed/>
    <w:rsid w:val="00A0256B"/>
    <w:rPr>
      <w:color w:val="0000FF"/>
      <w:u w:val="single"/>
    </w:rPr>
  </w:style>
  <w:style w:type="paragraph" w:styleId="Revision">
    <w:name w:val="Revision"/>
    <w:hidden/>
    <w:uiPriority w:val="99"/>
    <w:semiHidden/>
    <w:rsid w:val="00A0256B"/>
    <w:rPr>
      <w:rFonts w:eastAsia="MS Mincho"/>
      <w:lang w:eastAsia="ja-JP"/>
    </w:rPr>
  </w:style>
  <w:style w:type="paragraph" w:customStyle="1" w:styleId="DocID">
    <w:name w:val="DocID"/>
    <w:basedOn w:val="Footer"/>
    <w:next w:val="Footer"/>
    <w:link w:val="DocIDChar"/>
    <w:rsid w:val="00A74D64"/>
    <w:pPr>
      <w:tabs>
        <w:tab w:val="clear" w:pos="4320"/>
        <w:tab w:val="clear" w:pos="8640"/>
      </w:tabs>
      <w:outlineLvl w:val="0"/>
    </w:pPr>
    <w:rPr>
      <w:sz w:val="16"/>
      <w:szCs w:val="20"/>
      <w:lang w:eastAsia="en-US"/>
    </w:rPr>
  </w:style>
  <w:style w:type="character" w:customStyle="1" w:styleId="DocIDChar">
    <w:name w:val="DocID Char"/>
    <w:basedOn w:val="DefaultParagraphFont"/>
    <w:link w:val="DocID"/>
    <w:rsid w:val="00A74D64"/>
    <w:rPr>
      <w:rFonts w:eastAsia="Times New Roman"/>
      <w:sz w:val="16"/>
      <w:lang w:val="en-US" w:eastAsia="en-US"/>
    </w:rPr>
  </w:style>
  <w:style w:type="paragraph" w:customStyle="1" w:styleId="Point0number">
    <w:name w:val="Point 0 (number)"/>
    <w:basedOn w:val="Normal"/>
    <w:rsid w:val="00847E4B"/>
    <w:pPr>
      <w:numPr>
        <w:numId w:val="14"/>
      </w:numPr>
      <w:spacing w:before="120" w:after="120"/>
      <w:jc w:val="both"/>
    </w:pPr>
    <w:rPr>
      <w:rFonts w:eastAsia="Calibri"/>
      <w:szCs w:val="22"/>
      <w:lang w:val="en-GB" w:eastAsia="en-US"/>
    </w:rPr>
  </w:style>
  <w:style w:type="paragraph" w:customStyle="1" w:styleId="Point1number">
    <w:name w:val="Point 1 (number)"/>
    <w:basedOn w:val="Normal"/>
    <w:rsid w:val="00847E4B"/>
    <w:pPr>
      <w:numPr>
        <w:ilvl w:val="2"/>
        <w:numId w:val="14"/>
      </w:numPr>
      <w:spacing w:before="120" w:after="120"/>
      <w:jc w:val="both"/>
    </w:pPr>
    <w:rPr>
      <w:rFonts w:eastAsia="Calibri"/>
      <w:szCs w:val="22"/>
      <w:lang w:val="en-GB" w:eastAsia="en-US"/>
    </w:rPr>
  </w:style>
  <w:style w:type="paragraph" w:customStyle="1" w:styleId="Point2number">
    <w:name w:val="Point 2 (number)"/>
    <w:basedOn w:val="Normal"/>
    <w:rsid w:val="00847E4B"/>
    <w:pPr>
      <w:numPr>
        <w:ilvl w:val="4"/>
        <w:numId w:val="14"/>
      </w:numPr>
      <w:spacing w:before="120" w:after="120"/>
      <w:jc w:val="both"/>
    </w:pPr>
    <w:rPr>
      <w:rFonts w:eastAsia="Calibri"/>
      <w:szCs w:val="22"/>
      <w:lang w:val="en-GB" w:eastAsia="en-US"/>
    </w:rPr>
  </w:style>
  <w:style w:type="paragraph" w:customStyle="1" w:styleId="Point3number">
    <w:name w:val="Point 3 (number)"/>
    <w:basedOn w:val="Normal"/>
    <w:rsid w:val="00847E4B"/>
    <w:pPr>
      <w:numPr>
        <w:ilvl w:val="6"/>
        <w:numId w:val="14"/>
      </w:numPr>
      <w:spacing w:before="120" w:after="120"/>
      <w:jc w:val="both"/>
    </w:pPr>
    <w:rPr>
      <w:rFonts w:eastAsia="Calibri"/>
      <w:szCs w:val="22"/>
      <w:lang w:val="en-GB" w:eastAsia="en-US"/>
    </w:rPr>
  </w:style>
  <w:style w:type="paragraph" w:customStyle="1" w:styleId="Point0letter">
    <w:name w:val="Point 0 (letter)"/>
    <w:basedOn w:val="Normal"/>
    <w:rsid w:val="00847E4B"/>
    <w:pPr>
      <w:numPr>
        <w:ilvl w:val="1"/>
        <w:numId w:val="14"/>
      </w:numPr>
      <w:spacing w:before="120" w:after="120"/>
      <w:jc w:val="both"/>
    </w:pPr>
    <w:rPr>
      <w:rFonts w:eastAsia="Calibri"/>
      <w:szCs w:val="22"/>
      <w:lang w:val="en-GB" w:eastAsia="en-US"/>
    </w:rPr>
  </w:style>
  <w:style w:type="paragraph" w:customStyle="1" w:styleId="Point2letter">
    <w:name w:val="Point 2 (letter)"/>
    <w:basedOn w:val="Normal"/>
    <w:rsid w:val="00847E4B"/>
    <w:pPr>
      <w:numPr>
        <w:ilvl w:val="5"/>
        <w:numId w:val="14"/>
      </w:numPr>
      <w:spacing w:before="120" w:after="120"/>
      <w:jc w:val="both"/>
    </w:pPr>
    <w:rPr>
      <w:rFonts w:eastAsia="Calibri"/>
      <w:szCs w:val="22"/>
      <w:lang w:val="en-GB" w:eastAsia="en-US"/>
    </w:rPr>
  </w:style>
  <w:style w:type="paragraph" w:customStyle="1" w:styleId="Point3letter">
    <w:name w:val="Point 3 (letter)"/>
    <w:basedOn w:val="Normal"/>
    <w:rsid w:val="00847E4B"/>
    <w:pPr>
      <w:numPr>
        <w:ilvl w:val="7"/>
        <w:numId w:val="14"/>
      </w:numPr>
      <w:spacing w:before="120" w:after="120"/>
      <w:jc w:val="both"/>
    </w:pPr>
    <w:rPr>
      <w:rFonts w:eastAsia="Calibri"/>
      <w:szCs w:val="22"/>
      <w:lang w:val="en-GB" w:eastAsia="en-US"/>
    </w:rPr>
  </w:style>
  <w:style w:type="paragraph" w:customStyle="1" w:styleId="Point4letter">
    <w:name w:val="Point 4 (letter)"/>
    <w:basedOn w:val="Normal"/>
    <w:rsid w:val="00847E4B"/>
    <w:pPr>
      <w:numPr>
        <w:ilvl w:val="8"/>
        <w:numId w:val="14"/>
      </w:numPr>
      <w:spacing w:before="120" w:after="120"/>
      <w:jc w:val="both"/>
    </w:pPr>
    <w:rPr>
      <w:rFonts w:eastAsia="Calibri"/>
      <w:szCs w:val="22"/>
      <w:lang w:val="en-GB" w:eastAsia="en-US"/>
    </w:rPr>
  </w:style>
  <w:style w:type="character" w:styleId="UnresolvedMention">
    <w:name w:val="Unresolved Mention"/>
    <w:basedOn w:val="DefaultParagraphFont"/>
    <w:uiPriority w:val="99"/>
    <w:semiHidden/>
    <w:unhideWhenUsed/>
    <w:rsid w:val="00847E4B"/>
    <w:rPr>
      <w:color w:val="605E5C"/>
      <w:shd w:val="clear" w:color="auto" w:fill="E1DFDD"/>
    </w:rPr>
  </w:style>
  <w:style w:type="paragraph" w:customStyle="1" w:styleId="bodytext0">
    <w:name w:val="body__text"/>
    <w:basedOn w:val="Normal"/>
    <w:rsid w:val="00873598"/>
    <w:pPr>
      <w:spacing w:before="100" w:beforeAutospacing="1" w:after="100" w:afterAutospacing="1"/>
    </w:pPr>
    <w:rPr>
      <w:rFonts w:eastAsia="Times New Roman"/>
      <w:lang w:eastAsia="en-US"/>
    </w:rPr>
  </w:style>
  <w:style w:type="paragraph" w:styleId="NormalWeb">
    <w:name w:val="Normal (Web)"/>
    <w:basedOn w:val="Normal"/>
    <w:uiPriority w:val="99"/>
    <w:semiHidden/>
    <w:unhideWhenUsed/>
    <w:rsid w:val="00873598"/>
    <w:pPr>
      <w:spacing w:before="100" w:beforeAutospacing="1" w:after="100" w:afterAutospacing="1"/>
    </w:pPr>
    <w:rPr>
      <w:rFonts w:eastAsia="Times New Roman"/>
      <w:lang w:eastAsia="en-US"/>
    </w:rPr>
  </w:style>
  <w:style w:type="character" w:customStyle="1" w:styleId="BodyChar">
    <w:name w:val="Body Char"/>
    <w:link w:val="Body"/>
    <w:locked/>
    <w:rsid w:val="00527F3A"/>
    <w:rPr>
      <w:rFonts w:ascii="Verdana" w:hAnsi="Verdana"/>
    </w:rPr>
  </w:style>
  <w:style w:type="paragraph" w:customStyle="1" w:styleId="Body">
    <w:name w:val="Body"/>
    <w:basedOn w:val="Normal"/>
    <w:link w:val="BodyChar"/>
    <w:qFormat/>
    <w:rsid w:val="00527F3A"/>
    <w:pPr>
      <w:numPr>
        <w:numId w:val="33"/>
      </w:numPr>
      <w:tabs>
        <w:tab w:val="left" w:pos="1843"/>
        <w:tab w:val="left" w:pos="3119"/>
        <w:tab w:val="left" w:pos="4253"/>
      </w:tabs>
      <w:spacing w:before="120" w:after="120" w:line="276" w:lineRule="auto"/>
    </w:pPr>
    <w:rPr>
      <w:rFonts w:ascii="Verdana" w:hAnsi="Verdana"/>
      <w:sz w:val="20"/>
      <w:szCs w:val="20"/>
    </w:rPr>
  </w:style>
  <w:style w:type="paragraph" w:customStyle="1" w:styleId="aDefinition">
    <w:name w:val="(a) Definition"/>
    <w:basedOn w:val="Body"/>
    <w:qFormat/>
    <w:rsid w:val="00527F3A"/>
    <w:pPr>
      <w:numPr>
        <w:ilvl w:val="1"/>
      </w:numPr>
      <w:tabs>
        <w:tab w:val="clear" w:pos="851"/>
        <w:tab w:val="clear" w:pos="1843"/>
        <w:tab w:val="clear" w:pos="3119"/>
        <w:tab w:val="clear" w:pos="4253"/>
        <w:tab w:val="num" w:pos="360"/>
      </w:tabs>
      <w:ind w:left="1080" w:firstLine="0"/>
    </w:pPr>
  </w:style>
  <w:style w:type="paragraph" w:customStyle="1" w:styleId="iDefinition">
    <w:name w:val="(i) Definition"/>
    <w:basedOn w:val="Body"/>
    <w:qFormat/>
    <w:rsid w:val="00527F3A"/>
    <w:pPr>
      <w:numPr>
        <w:ilvl w:val="2"/>
      </w:numPr>
      <w:tabs>
        <w:tab w:val="clear" w:pos="1843"/>
        <w:tab w:val="clear" w:pos="3119"/>
        <w:tab w:val="clear" w:pos="4253"/>
        <w:tab w:val="num" w:pos="360"/>
      </w:tabs>
      <w:ind w:left="1800" w:firstLine="0"/>
    </w:pPr>
  </w:style>
  <w:style w:type="paragraph" w:styleId="ListParagraph">
    <w:name w:val="List Paragraph"/>
    <w:basedOn w:val="Normal"/>
    <w:uiPriority w:val="34"/>
    <w:qFormat/>
    <w:rsid w:val="00527F3A"/>
    <w:pPr>
      <w:spacing w:after="200" w:line="276" w:lineRule="auto"/>
      <w:ind w:left="720"/>
      <w:contextualSpacing/>
    </w:pPr>
    <w:rPr>
      <w:rFonts w:ascii="Verdana" w:eastAsia="Verdana" w:hAnsi="Verdana" w:cs="Verdana"/>
      <w:color w:val="000000"/>
      <w:sz w:val="22"/>
      <w:szCs w:val="22"/>
      <w:lang w:val="en-GB" w:eastAsia="en-GB"/>
    </w:rPr>
  </w:style>
  <w:style w:type="table" w:styleId="TableGrid">
    <w:name w:val="Table Grid"/>
    <w:basedOn w:val="TableNormal"/>
    <w:uiPriority w:val="39"/>
    <w:rsid w:val="00527F3A"/>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 indent"/>
    <w:basedOn w:val="Body"/>
    <w:link w:val="BodyindentChar"/>
    <w:qFormat/>
    <w:rsid w:val="00527F3A"/>
    <w:pPr>
      <w:numPr>
        <w:numId w:val="0"/>
      </w:numPr>
      <w:ind w:left="261" w:hanging="261"/>
    </w:pPr>
    <w:rPr>
      <w:rFonts w:eastAsia="Times New Roman"/>
      <w:szCs w:val="18"/>
    </w:rPr>
  </w:style>
  <w:style w:type="character" w:customStyle="1" w:styleId="BodyindentChar">
    <w:name w:val="Body indent Char"/>
    <w:basedOn w:val="BodyChar"/>
    <w:link w:val="Bodyindent"/>
    <w:rsid w:val="00527F3A"/>
    <w:rPr>
      <w:rFonts w:ascii="Verdana" w:eastAsia="Times New Roman" w:hAnsi="Verdana"/>
      <w:szCs w:val="18"/>
    </w:rPr>
  </w:style>
  <w:style w:type="paragraph" w:customStyle="1" w:styleId="NormalNumbered">
    <w:name w:val="Normal Numbered"/>
    <w:basedOn w:val="Normal"/>
    <w:link w:val="NormalNumberedChar"/>
    <w:qFormat/>
    <w:rsid w:val="00527F3A"/>
    <w:pPr>
      <w:numPr>
        <w:numId w:val="37"/>
      </w:numPr>
      <w:spacing w:after="200" w:line="276" w:lineRule="auto"/>
      <w:ind w:left="454" w:hanging="454"/>
    </w:pPr>
    <w:rPr>
      <w:rFonts w:ascii="Verdana" w:eastAsia="Verdana" w:hAnsi="Verdana" w:cs="Verdana"/>
      <w:color w:val="000000"/>
      <w:sz w:val="22"/>
      <w:szCs w:val="22"/>
      <w:lang w:val="en-GB" w:eastAsia="en-GB"/>
    </w:rPr>
  </w:style>
  <w:style w:type="character" w:customStyle="1" w:styleId="NormalNumberedChar">
    <w:name w:val="Normal Numbered Char"/>
    <w:basedOn w:val="DefaultParagraphFont"/>
    <w:link w:val="NormalNumbered"/>
    <w:rsid w:val="00527F3A"/>
    <w:rPr>
      <w:rFonts w:ascii="Verdana" w:eastAsia="Verdana" w:hAnsi="Verdana" w:cs="Verdana"/>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6844">
      <w:bodyDiv w:val="1"/>
      <w:marLeft w:val="0"/>
      <w:marRight w:val="0"/>
      <w:marTop w:val="0"/>
      <w:marBottom w:val="0"/>
      <w:divBdr>
        <w:top w:val="none" w:sz="0" w:space="0" w:color="auto"/>
        <w:left w:val="none" w:sz="0" w:space="0" w:color="auto"/>
        <w:bottom w:val="none" w:sz="0" w:space="0" w:color="auto"/>
        <w:right w:val="none" w:sz="0" w:space="0" w:color="auto"/>
      </w:divBdr>
    </w:div>
    <w:div w:id="14268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fundraiseu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fundraise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gal@fundraise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gal@fundraiseu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CA45-AFCE-425E-87BC-588F6F5D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12225</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81745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Jones</dc:creator>
  <cp:keywords/>
  <dc:description/>
  <cp:lastModifiedBy>Suhaib Kiani</cp:lastModifiedBy>
  <cp:revision>2</cp:revision>
  <dcterms:created xsi:type="dcterms:W3CDTF">2022-07-08T15:41:00Z</dcterms:created>
  <dcterms:modified xsi:type="dcterms:W3CDTF">2022-07-08T15:41:00Z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ME1 34485888v.4</vt:lpwstr>
  </property>
  <property fmtid="{D5CDD505-2E9C-101B-9397-08002B2CF9AE}" pid="3" name="_AdHocReviewCycleID">
    <vt:i4>478388819</vt:i4>
  </property>
  <property fmtid="{D5CDD505-2E9C-101B-9397-08002B2CF9AE}" pid="4" name="_NewReviewCycle">
    <vt:lpwstr/>
  </property>
  <property fmtid="{D5CDD505-2E9C-101B-9397-08002B2CF9AE}" pid="5" name="_EmailSubject">
    <vt:lpwstr>Fundraise Up - GDPR Data Protection Agreement</vt:lpwstr>
  </property>
  <property fmtid="{D5CDD505-2E9C-101B-9397-08002B2CF9AE}" pid="6" name="_AuthorEmail">
    <vt:lpwstr>mjones@mccarter.com</vt:lpwstr>
  </property>
  <property fmtid="{D5CDD505-2E9C-101B-9397-08002B2CF9AE}" pid="7" name="_AuthorEmailDisplayName">
    <vt:lpwstr>Jones, Morgan</vt:lpwstr>
  </property>
  <property fmtid="{D5CDD505-2E9C-101B-9397-08002B2CF9AE}" pid="8" name="_ReviewingToolsShownOnce">
    <vt:lpwstr/>
  </property>
  <property fmtid="{D5CDD505-2E9C-101B-9397-08002B2CF9AE}" pid="9" name="CUS_DocIDFormatDateTime">
    <vt:lpwstr>M/d/yy</vt:lpwstr>
  </property>
  <property fmtid="{D5CDD505-2E9C-101B-9397-08002B2CF9AE}" pid="10" name="CUS_DocIDString">
    <vt:lpwstr>64711347 v2</vt:lpwstr>
  </property>
  <property fmtid="{D5CDD505-2E9C-101B-9397-08002B2CF9AE}" pid="11" name="CUS_DocIDChunk0">
    <vt:lpwstr>64711347 v2</vt:lpwstr>
  </property>
  <property fmtid="{D5CDD505-2E9C-101B-9397-08002B2CF9AE}" pid="12" name="CUS_DocIDActiveBits">
    <vt:lpwstr>98304</vt:lpwstr>
  </property>
  <property fmtid="{D5CDD505-2E9C-101B-9397-08002B2CF9AE}" pid="13" name="CUS_DocIDLocation">
    <vt:lpwstr>EVERY_PAGE</vt:lpwstr>
  </property>
  <property fmtid="{D5CDD505-2E9C-101B-9397-08002B2CF9AE}" pid="14" name="CUS_DocIDReference">
    <vt:lpwstr>everyPage</vt:lpwstr>
  </property>
</Properties>
</file>